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1005"/>
        <w:ind w:firstLine="300"/>
        <w:spacing w:line="360" w:lineRule="auto"/>
        <w:rPr>
          <w:color w:val="000000"/>
          <w:sz w:val="60"/>
          <w:szCs w:val="60"/>
          <w:highlight w:val="none"/>
        </w:rPr>
      </w:pPr>
      <w:r>
        <w:rPr>
          <w:color w:val="000000"/>
          <w:sz w:val="60"/>
          <w:szCs w:val="60"/>
          <w:highlight w:val="none"/>
        </w:rPr>
      </w:r>
      <w:r/>
    </w:p>
    <w:p>
      <w:pPr>
        <w:pStyle w:val="1005"/>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1005"/>
        <w:jc w:val="center"/>
        <w:spacing w:line="800" w:lineRule="exact"/>
        <w:rPr>
          <w:rFonts w:ascii="CESI黑体-GB2312" w:hAnsi="CESI黑体-GB2312" w:eastAsia="CESI黑体-GB2312" w:cs="CESI黑体-GB2312"/>
          <w:color w:val="000000"/>
          <w:sz w:val="32"/>
          <w:szCs w:val="32"/>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rFonts w:ascii="CESI黑体-GB2312" w:hAnsi="CESI黑体-GB2312" w:eastAsia="CESI黑体-GB2312" w:cs="CESI黑体-GB2312"/>
          <w:color w:val="000000"/>
          <w:sz w:val="32"/>
          <w:szCs w:val="32"/>
          <w:highlight w:val="none"/>
        </w:rPr>
      </w:r>
      <w:r/>
    </w:p>
    <w:p>
      <w:pPr>
        <w:pStyle w:val="1005"/>
        <w:jc w:val="center"/>
        <w:rPr>
          <w:b/>
          <w:bCs/>
          <w:color w:val="000000"/>
          <w:sz w:val="60"/>
          <w:szCs w:val="60"/>
          <w:highlight w:val="none"/>
        </w:rPr>
      </w:pPr>
      <w:r>
        <w:rPr>
          <w:b/>
          <w:bCs/>
          <w:color w:val="000000"/>
          <w:sz w:val="60"/>
          <w:szCs w:val="60"/>
          <w:highlight w:val="none"/>
        </w:rPr>
      </w:r>
      <w:r/>
    </w:p>
    <w:p>
      <w:pPr>
        <w:pStyle w:val="1005"/>
        <w:jc w:val="center"/>
        <w:rPr>
          <w:b/>
          <w:bCs/>
          <w:color w:val="000000"/>
          <w:sz w:val="60"/>
          <w:szCs w:val="60"/>
          <w:highlight w:val="none"/>
        </w:rPr>
      </w:pPr>
      <w:r>
        <w:rPr>
          <w:b/>
          <w:bCs/>
          <w:color w:val="000000"/>
          <w:sz w:val="60"/>
          <w:szCs w:val="60"/>
          <w:highlight w:val="none"/>
        </w:rPr>
      </w:r>
      <w:r/>
    </w:p>
    <w:p>
      <w:pPr>
        <w:pStyle w:val="1005"/>
        <w:jc w:val="center"/>
        <w:rPr>
          <w:rFonts w:hint="eastAsia"/>
          <w:b/>
          <w:bCs/>
          <w:color w:val="000000"/>
          <w:sz w:val="60"/>
          <w:szCs w:val="60"/>
          <w:highlight w:val="none"/>
        </w:rPr>
      </w:pPr>
      <w:r>
        <w:rPr>
          <w:rFonts w:hint="eastAsia"/>
          <w:b/>
          <w:bCs/>
          <w:color w:val="000000"/>
          <w:sz w:val="60"/>
          <w:szCs w:val="60"/>
          <w:highlight w:val="none"/>
        </w:rPr>
      </w:r>
      <w:r/>
    </w:p>
    <w:p>
      <w:pPr>
        <w:pStyle w:val="1005"/>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2026年度净水站运维社会化服务</w:t>
      </w:r>
      <w:r>
        <w:rPr>
          <w:rFonts w:hint="eastAsia" w:eastAsia="宋体"/>
          <w:bCs/>
          <w:color w:val="000000"/>
          <w:sz w:val="36"/>
          <w:szCs w:val="36"/>
          <w:highlight w:val="none"/>
          <w:lang w:eastAsia="zh-CN"/>
        </w:rPr>
      </w:r>
      <w:r/>
    </w:p>
    <w:p>
      <w:pPr>
        <w:pStyle w:val="1005"/>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JSZC-320400-JSZG-G2025-0131</w:t>
      </w:r>
      <w:r>
        <w:rPr>
          <w:rFonts w:hint="eastAsia" w:eastAsia="宋体"/>
          <w:bCs/>
          <w:color w:val="000000"/>
          <w:sz w:val="36"/>
          <w:szCs w:val="36"/>
          <w:highlight w:val="none"/>
          <w:lang w:eastAsia="zh-CN"/>
        </w:rPr>
      </w:r>
      <w:r/>
    </w:p>
    <w:p>
      <w:pPr>
        <w:pStyle w:val="1005"/>
        <w:ind w:left="2832" w:hanging="19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常州市排水管理处</w:t>
      </w:r>
      <w:r>
        <w:rPr>
          <w:rFonts w:hint="eastAsia"/>
          <w:bCs/>
          <w:color w:val="000000"/>
          <w:sz w:val="36"/>
          <w:szCs w:val="36"/>
          <w:highlight w:val="none"/>
        </w:rPr>
      </w:r>
      <w:r/>
    </w:p>
    <w:p>
      <w:pPr>
        <w:pStyle w:val="1005"/>
        <w:ind w:left="2832" w:hanging="1900"/>
        <w:jc w:val="left"/>
        <w:spacing w:line="360" w:lineRule="auto"/>
        <w:tabs>
          <w:tab w:val="left" w:pos="3240" w:leader="none"/>
          <w:tab w:val="left" w:pos="3420" w:leader="none"/>
        </w:tabs>
        <w:rPr>
          <w:b/>
          <w:color w:val="000000"/>
          <w:sz w:val="72"/>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bCs/>
          <w:color w:val="000000"/>
          <w:sz w:val="36"/>
          <w:szCs w:val="36"/>
          <w:highlight w:val="none"/>
        </w:rPr>
        <w:t xml:space="preserve">招标代理机构</w:t>
      </w:r>
      <w:r>
        <w:rPr>
          <w:bCs/>
          <w:color w:val="000000"/>
          <w:sz w:val="36"/>
          <w:szCs w:val="36"/>
          <w:highlight w:val="none"/>
        </w:rPr>
        <w:t xml:space="preserve">：</w:t>
      </w:r>
      <w:r>
        <w:rPr>
          <w:rFonts w:hint="eastAsia"/>
          <w:bCs/>
          <w:color w:val="000000"/>
          <w:sz w:val="36"/>
          <w:szCs w:val="36"/>
          <w:highlight w:val="none"/>
        </w:rPr>
        <w:t xml:space="preserve">江苏中冠工程咨询有限公司</w:t>
      </w:r>
      <w:r>
        <w:rPr>
          <w:bCs/>
          <w:color w:val="000000"/>
          <w:sz w:val="36"/>
          <w:szCs w:val="36"/>
          <w:highlight w:val="none"/>
        </w:rPr>
        <w:t xml:space="preserve"> </w:t>
      </w:r>
      <w:r>
        <w:rPr>
          <w:b/>
          <w:color w:val="000000"/>
          <w:sz w:val="72"/>
          <w:highlight w:val="none"/>
        </w:rPr>
        <w:br w:type="page" w:clear="all"/>
      </w:r>
      <w:r/>
    </w:p>
    <w:p>
      <w:pPr>
        <w:pStyle w:val="1005"/>
        <w:jc w:val="center"/>
        <w:spacing w:line="360" w:lineRule="auto"/>
        <w:rPr>
          <w:b/>
          <w:color w:val="000000"/>
          <w:sz w:val="36"/>
          <w:szCs w:val="36"/>
          <w:highlight w:val="none"/>
        </w:rPr>
        <w:outlineLvl w:val="0"/>
      </w:pPr>
      <w:r/>
      <w:bookmarkStart w:id="0" w:name="_Toc99301418"/>
      <w:r/>
      <w:bookmarkStart w:id="1" w:name="_Toc5081"/>
      <w:r/>
      <w:bookmarkStart w:id="2" w:name="_Toc26664"/>
      <w:r/>
      <w:bookmarkStart w:id="3" w:name="_Toc20162"/>
      <w:r>
        <w:rPr>
          <w:b/>
          <w:color w:val="000000"/>
          <w:sz w:val="36"/>
          <w:szCs w:val="36"/>
          <w:highlight w:val="none"/>
        </w:rPr>
        <w:t xml:space="preserve">目      录</w:t>
      </w:r>
      <w:bookmarkEnd w:id="0"/>
      <w:r/>
      <w:bookmarkEnd w:id="1"/>
      <w:r/>
      <w:bookmarkEnd w:id="2"/>
      <w:r/>
      <w:bookmarkEnd w:id="3"/>
      <w:r>
        <w:rPr>
          <w:b/>
          <w:color w:val="000000"/>
          <w:sz w:val="36"/>
          <w:szCs w:val="36"/>
          <w:highlight w:val="none"/>
        </w:rPr>
      </w:r>
      <w:r/>
    </w:p>
    <w:p>
      <w:pPr>
        <w:pStyle w:val="1005"/>
        <w:rPr>
          <w:color w:val="000000"/>
          <w:highlight w:val="none"/>
        </w:rPr>
      </w:pPr>
      <w:r>
        <w:rPr>
          <w:color w:val="000000"/>
          <w:highlight w:val="none"/>
        </w:rPr>
      </w:r>
      <w:r/>
    </w:p>
    <w:p>
      <w:pPr>
        <w:pStyle w:val="1005"/>
        <w:rPr>
          <w:color w:val="000000"/>
          <w:highlight w:val="none"/>
        </w:rPr>
      </w:pPr>
      <w:r>
        <w:rPr>
          <w:color w:val="000000"/>
          <w:highlight w:val="none"/>
        </w:rPr>
      </w:r>
      <w:r/>
    </w:p>
    <w:p>
      <w:pPr>
        <w:pStyle w:val="1005"/>
        <w:rPr>
          <w:color w:val="000000"/>
          <w:highlight w:val="none"/>
        </w:rPr>
      </w:pPr>
      <w:r>
        <w:rPr>
          <w:color w:val="000000"/>
          <w:highlight w:val="none"/>
        </w:rPr>
      </w:r>
      <w:r/>
    </w:p>
    <w:p>
      <w:pPr>
        <w:pStyle w:val="1060"/>
        <w:tabs>
          <w:tab w:val="right" w:pos="9072" w:leader="dot"/>
        </w:tabs>
        <w:rPr>
          <w:color w:val="000000"/>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_Toc13176 </w:instrText>
      </w:r>
      <w:r>
        <w:rPr>
          <w:rFonts w:ascii="Times New Roman" w:hAnsi="Times New Roman"/>
          <w:color w:val="000000"/>
          <w:highlight w:val="none"/>
        </w:rPr>
        <w:fldChar w:fldCharType="separate"/>
      </w:r>
      <w:r>
        <w:rPr>
          <w:color w:val="000000"/>
          <w:szCs w:val="36"/>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_Toc13176 \h </w:instrText>
      </w:r>
      <w:r>
        <w:rPr>
          <w:color w:val="000000"/>
          <w:highlight w:val="none"/>
        </w:rPr>
        <w:fldChar w:fldCharType="separate"/>
      </w:r>
      <w:r>
        <w:rPr>
          <w:color w:val="000000"/>
          <w:highlight w:val="none"/>
        </w:rPr>
        <w:t xml:space="preserve">1</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060"/>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_Toc17447 </w:instrText>
      </w:r>
      <w:r>
        <w:rPr>
          <w:rFonts w:ascii="Times New Roman" w:hAnsi="Times New Roman"/>
          <w:color w:val="000000"/>
          <w:highlight w:val="none"/>
        </w:rPr>
        <w:fldChar w:fldCharType="separate"/>
      </w:r>
      <w:r>
        <w:rPr>
          <w:color w:val="000000"/>
          <w:szCs w:val="36"/>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_Toc17447 \h </w:instrText>
      </w:r>
      <w:r>
        <w:rPr>
          <w:color w:val="000000"/>
          <w:highlight w:val="none"/>
        </w:rPr>
        <w:fldChar w:fldCharType="separate"/>
      </w:r>
      <w:r>
        <w:rPr>
          <w:color w:val="000000"/>
          <w:highlight w:val="none"/>
        </w:rPr>
        <w:t xml:space="preserve">5</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060"/>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_Toc17622 </w:instrText>
      </w:r>
      <w:r>
        <w:rPr>
          <w:rFonts w:ascii="Times New Roman" w:hAnsi="Times New Roman"/>
          <w:color w:val="000000"/>
          <w:highlight w:val="none"/>
        </w:rPr>
        <w:fldChar w:fldCharType="separate"/>
      </w:r>
      <w:r>
        <w:rPr>
          <w:color w:val="000000"/>
          <w:szCs w:val="36"/>
          <w:highlight w:val="none"/>
        </w:rPr>
        <w:t xml:space="preserve">第三章   资格审查</w:t>
      </w:r>
      <w:r>
        <w:rPr>
          <w:color w:val="000000"/>
          <w:highlight w:val="none"/>
        </w:rPr>
        <w:tab/>
      </w:r>
      <w:r>
        <w:rPr>
          <w:color w:val="000000"/>
          <w:highlight w:val="none"/>
        </w:rPr>
        <w:fldChar w:fldCharType="begin"/>
      </w:r>
      <w:r>
        <w:rPr>
          <w:color w:val="000000"/>
          <w:highlight w:val="none"/>
        </w:rPr>
        <w:instrText xml:space="preserve"> PAGEREF _Toc17622 \h </w:instrText>
      </w:r>
      <w:r>
        <w:rPr>
          <w:color w:val="000000"/>
          <w:highlight w:val="none"/>
        </w:rPr>
        <w:fldChar w:fldCharType="separate"/>
      </w:r>
      <w:r>
        <w:rPr>
          <w:color w:val="000000"/>
          <w:highlight w:val="none"/>
        </w:rPr>
        <w:t xml:space="preserve">19</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060"/>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_Toc7435 </w:instrText>
      </w:r>
      <w:r>
        <w:rPr>
          <w:rFonts w:ascii="Times New Roman" w:hAnsi="Times New Roman"/>
          <w:color w:val="000000"/>
          <w:highlight w:val="none"/>
        </w:rPr>
        <w:fldChar w:fldCharType="separate"/>
      </w:r>
      <w:r>
        <w:rPr>
          <w:color w:val="000000"/>
          <w:szCs w:val="36"/>
          <w:highlight w:val="none"/>
        </w:rPr>
        <w:t xml:space="preserve">第四章   评标程序、评标方法和评标标准</w:t>
      </w:r>
      <w:r>
        <w:rPr>
          <w:color w:val="000000"/>
          <w:highlight w:val="none"/>
        </w:rPr>
        <w:tab/>
      </w:r>
      <w:r>
        <w:rPr>
          <w:color w:val="000000"/>
          <w:highlight w:val="none"/>
        </w:rPr>
        <w:fldChar w:fldCharType="begin"/>
      </w:r>
      <w:r>
        <w:rPr>
          <w:color w:val="000000"/>
          <w:highlight w:val="none"/>
        </w:rPr>
        <w:instrText xml:space="preserve"> PAGEREF _Toc7435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060"/>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_Toc28243 </w:instrText>
      </w:r>
      <w:r>
        <w:rPr>
          <w:rFonts w:ascii="Times New Roman" w:hAnsi="Times New Roman"/>
          <w:color w:val="000000"/>
          <w:highlight w:val="none"/>
        </w:rPr>
        <w:fldChar w:fldCharType="separate"/>
      </w:r>
      <w:r>
        <w:rPr>
          <w:color w:val="000000"/>
          <w:szCs w:val="36"/>
          <w:highlight w:val="none"/>
        </w:rPr>
        <w:t xml:space="preserve">第五章   采购需求</w:t>
      </w:r>
      <w:r>
        <w:rPr>
          <w:color w:val="000000"/>
          <w:highlight w:val="none"/>
        </w:rPr>
        <w:tab/>
      </w:r>
      <w:r>
        <w:rPr>
          <w:color w:val="000000"/>
          <w:highlight w:val="none"/>
        </w:rPr>
        <w:fldChar w:fldCharType="begin"/>
      </w:r>
      <w:r>
        <w:rPr>
          <w:color w:val="000000"/>
          <w:highlight w:val="none"/>
        </w:rPr>
        <w:instrText xml:space="preserve"> PAGEREF _Toc28243 \h </w:instrText>
      </w:r>
      <w:r>
        <w:rPr>
          <w:color w:val="000000"/>
          <w:highlight w:val="none"/>
        </w:rPr>
        <w:fldChar w:fldCharType="separate"/>
      </w:r>
      <w:r>
        <w:rPr>
          <w:color w:val="000000"/>
          <w:highlight w:val="none"/>
        </w:rPr>
        <w:t xml:space="preserve">29</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060"/>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_Toc29361 </w:instrText>
      </w:r>
      <w:r>
        <w:rPr>
          <w:rFonts w:ascii="Times New Roman" w:hAnsi="Times New Roman"/>
          <w:color w:val="000000"/>
          <w:highlight w:val="none"/>
        </w:rPr>
        <w:fldChar w:fldCharType="separate"/>
      </w:r>
      <w:r>
        <w:rPr>
          <w:color w:val="000000"/>
          <w:szCs w:val="36"/>
          <w:highlight w:val="none"/>
        </w:rPr>
        <w:t xml:space="preserve">第六章   拟签订的合同文本</w:t>
      </w:r>
      <w:r>
        <w:rPr>
          <w:color w:val="000000"/>
          <w:highlight w:val="none"/>
        </w:rPr>
        <w:tab/>
      </w:r>
      <w:r>
        <w:rPr>
          <w:color w:val="000000"/>
          <w:highlight w:val="none"/>
        </w:rPr>
        <w:fldChar w:fldCharType="begin"/>
      </w:r>
      <w:r>
        <w:rPr>
          <w:color w:val="000000"/>
          <w:highlight w:val="none"/>
        </w:rPr>
        <w:instrText xml:space="preserve"> PAGEREF _Toc29361 \h </w:instrText>
      </w:r>
      <w:r>
        <w:rPr>
          <w:color w:val="000000"/>
          <w:highlight w:val="none"/>
        </w:rPr>
        <w:fldChar w:fldCharType="separate"/>
      </w:r>
      <w:r>
        <w:rPr>
          <w:color w:val="000000"/>
          <w:highlight w:val="none"/>
        </w:rPr>
        <w:t xml:space="preserve">29</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060"/>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_Toc11047 </w:instrText>
      </w:r>
      <w:r>
        <w:rPr>
          <w:rFonts w:ascii="Times New Roman" w:hAnsi="Times New Roman"/>
          <w:color w:val="000000"/>
          <w:highlight w:val="none"/>
        </w:rPr>
        <w:fldChar w:fldCharType="separate"/>
      </w:r>
      <w:r>
        <w:rPr>
          <w:color w:val="000000"/>
          <w:szCs w:val="36"/>
          <w:highlight w:val="none"/>
        </w:rPr>
        <w:t xml:space="preserve">第七章   投标文件格式</w:t>
      </w:r>
      <w:r>
        <w:rPr>
          <w:color w:val="000000"/>
          <w:highlight w:val="none"/>
        </w:rPr>
        <w:tab/>
      </w:r>
      <w:r>
        <w:rPr>
          <w:color w:val="000000"/>
          <w:highlight w:val="none"/>
        </w:rPr>
        <w:fldChar w:fldCharType="begin"/>
      </w:r>
      <w:r>
        <w:rPr>
          <w:color w:val="000000"/>
          <w:highlight w:val="none"/>
        </w:rPr>
        <w:instrText xml:space="preserve"> PAGEREF _Toc11047 \h </w:instrText>
      </w:r>
      <w:r>
        <w:rPr>
          <w:color w:val="000000"/>
          <w:highlight w:val="none"/>
        </w:rPr>
        <w:fldChar w:fldCharType="separate"/>
      </w:r>
      <w:r>
        <w:rPr>
          <w:color w:val="000000"/>
          <w:highlight w:val="none"/>
        </w:rPr>
        <w:t xml:space="preserve">68</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060"/>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color w:val="000000"/>
          <w:highlight w:val="none"/>
        </w:rPr>
        <w:fldChar w:fldCharType="end"/>
      </w:r>
      <w:r>
        <w:rPr>
          <w:rFonts w:ascii="Times New Roman" w:hAnsi="Times New Roman"/>
          <w:b w:val="0"/>
          <w:color w:val="000000"/>
          <w:highlight w:val="none"/>
        </w:rPr>
      </w:r>
      <w:r/>
    </w:p>
    <w:p>
      <w:pPr>
        <w:pStyle w:val="1005"/>
        <w:jc w:val="center"/>
        <w:spacing w:line="360" w:lineRule="auto"/>
        <w:rPr>
          <w:b/>
          <w:color w:val="000000"/>
          <w:sz w:val="36"/>
          <w:szCs w:val="36"/>
          <w:highlight w:val="none"/>
        </w:rPr>
        <w:outlineLvl w:val="0"/>
      </w:pPr>
      <w:r>
        <w:rPr>
          <w:color w:val="000000"/>
          <w:sz w:val="24"/>
          <w:highlight w:val="none"/>
        </w:rPr>
        <w:br w:type="page" w:clear="all"/>
      </w:r>
      <w:bookmarkStart w:id="4" w:name="_Toc13176"/>
      <w:r>
        <w:rPr>
          <w:b/>
          <w:color w:val="000000"/>
          <w:sz w:val="36"/>
          <w:szCs w:val="36"/>
          <w:highlight w:val="none"/>
        </w:rPr>
        <w:t xml:space="preserve">第一章   投标邀请</w:t>
      </w:r>
      <w:bookmarkEnd w:id="4"/>
      <w:r>
        <w:rPr>
          <w:b/>
          <w:color w:val="000000"/>
          <w:sz w:val="36"/>
          <w:szCs w:val="36"/>
          <w:highlight w:val="none"/>
        </w:rPr>
      </w:r>
      <w:r/>
    </w:p>
    <w:p>
      <w:pPr>
        <w:pStyle w:val="1007"/>
        <w:jc w:val="left"/>
        <w:spacing w:before="0" w:line="360" w:lineRule="auto"/>
        <w:rPr>
          <w:rFonts w:ascii="Times New Roman" w:hAnsi="Times New Roman" w:eastAsia="宋体"/>
          <w:color w:val="000000"/>
          <w:sz w:val="24"/>
          <w:szCs w:val="24"/>
          <w:highlight w:val="none"/>
        </w:rPr>
      </w:pPr>
      <w:r/>
      <w:bookmarkStart w:id="5" w:name="_Toc28359002"/>
      <w:r/>
      <w:bookmarkStart w:id="6" w:name="_Toc35393621"/>
      <w:r/>
      <w:bookmarkStart w:id="7" w:name="_Toc35393790"/>
      <w:r/>
      <w:bookmarkStart w:id="8" w:name="_Toc28359079"/>
      <w:r/>
      <w:bookmarkStart w:id="9" w:name="_Hlk24379207"/>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1005"/>
        <w:ind w:firstLine="480"/>
        <w:spacing w:line="360" w:lineRule="auto"/>
        <w:rPr>
          <w:rFonts w:hint="eastAsia" w:eastAsia="宋体"/>
          <w:color w:val="000000"/>
          <w:sz w:val="24"/>
          <w:highlight w:val="none"/>
          <w:lang w:eastAsia="zh-CN"/>
        </w:rPr>
      </w:pPr>
      <w:r>
        <w:rPr>
          <w:color w:val="000000"/>
          <w:sz w:val="24"/>
          <w:highlight w:val="none"/>
        </w:rPr>
        <w:t xml:space="preserve">项目编号：</w:t>
      </w:r>
      <w:r>
        <w:rPr>
          <w:rFonts w:hint="eastAsia"/>
          <w:color w:val="000000"/>
          <w:sz w:val="24"/>
          <w:highlight w:val="none"/>
          <w:lang w:eastAsia="zh-CN"/>
        </w:rPr>
        <w:t xml:space="preserve">JSZC-320400-JSZG-G2025-0131</w:t>
      </w:r>
      <w:r>
        <w:rPr>
          <w:rFonts w:hint="eastAsia" w:eastAsia="宋体"/>
          <w:color w:val="000000"/>
          <w:sz w:val="24"/>
          <w:highlight w:val="none"/>
          <w:lang w:eastAsia="zh-CN"/>
        </w:rPr>
      </w:r>
      <w:r/>
    </w:p>
    <w:p>
      <w:pPr>
        <w:pStyle w:val="1005"/>
        <w:ind w:firstLine="480"/>
        <w:spacing w:line="360" w:lineRule="auto"/>
        <w:rPr>
          <w:rFonts w:hint="eastAsia" w:eastAsia="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2026年度净水站运维社会化服务</w:t>
      </w:r>
      <w:r>
        <w:rPr>
          <w:rFonts w:hint="eastAsia" w:eastAsia="宋体"/>
          <w:color w:val="000000"/>
          <w:sz w:val="24"/>
          <w:highlight w:val="none"/>
          <w:lang w:eastAsia="zh-CN"/>
        </w:rPr>
      </w:r>
      <w:r/>
    </w:p>
    <w:p>
      <w:pPr>
        <w:pStyle w:val="1005"/>
        <w:ind w:firstLine="480"/>
        <w:spacing w:line="360" w:lineRule="auto"/>
        <w:rPr>
          <w:color w:val="000000"/>
          <w:sz w:val="24"/>
          <w:highlight w:val="none"/>
        </w:rPr>
      </w:pPr>
      <w:r>
        <w:rPr>
          <w:color w:val="000000"/>
          <w:sz w:val="24"/>
          <w:highlight w:val="none"/>
        </w:rPr>
        <w:t xml:space="preserve">项目预算金额：</w:t>
      </w:r>
      <w:r>
        <w:rPr>
          <w:rFonts w:hint="eastAsia"/>
          <w:color w:val="000000"/>
          <w:sz w:val="24"/>
          <w:highlight w:val="none"/>
          <w:lang w:eastAsia="zh-CN"/>
        </w:rPr>
        <w:t xml:space="preserve">297.0708</w:t>
      </w:r>
      <w:r>
        <w:rPr>
          <w:color w:val="000000"/>
          <w:sz w:val="24"/>
          <w:highlight w:val="none"/>
        </w:rPr>
        <w:t xml:space="preserve">万元</w:t>
      </w:r>
      <w:r>
        <w:rPr>
          <w:color w:val="000000"/>
          <w:sz w:val="24"/>
          <w:highlight w:val="none"/>
        </w:rPr>
      </w:r>
      <w:r/>
    </w:p>
    <w:p>
      <w:pPr>
        <w:pStyle w:val="1005"/>
        <w:ind w:firstLine="480"/>
        <w:spacing w:line="360" w:lineRule="auto"/>
        <w:rPr>
          <w:color w:val="000000"/>
          <w:sz w:val="24"/>
          <w:highlight w:val="none"/>
        </w:rPr>
      </w:pPr>
      <w:r>
        <w:rPr>
          <w:color w:val="000000"/>
          <w:sz w:val="24"/>
          <w:highlight w:val="none"/>
        </w:rPr>
        <w:t xml:space="preserve">最高限价（如有）：本项目</w:t>
      </w:r>
      <w:r>
        <w:rPr>
          <w:rFonts w:hint="eastAsia"/>
          <w:color w:val="000000"/>
          <w:sz w:val="24"/>
          <w:highlight w:val="none"/>
        </w:rPr>
        <w:t xml:space="preserve">在最高限价的基础上</w:t>
      </w:r>
      <w:r>
        <w:rPr>
          <w:color w:val="000000"/>
          <w:sz w:val="24"/>
          <w:highlight w:val="none"/>
        </w:rPr>
        <w:t xml:space="preserve">以优惠率进行报价，供应商的报价优惠率不得低于0%，报价优惠率低于0%按无效响应处理。</w:t>
      </w:r>
      <w:r>
        <w:rPr>
          <w:color w:val="000000"/>
          <w:sz w:val="24"/>
          <w:highlight w:val="none"/>
        </w:rPr>
      </w:r>
      <w:r/>
    </w:p>
    <w:p>
      <w:pPr>
        <w:pStyle w:val="1005"/>
        <w:ind w:firstLine="480"/>
        <w:spacing w:line="360" w:lineRule="auto"/>
        <w:rPr>
          <w:color w:val="000000"/>
          <w:sz w:val="24"/>
          <w:szCs w:val="24"/>
          <w:highlight w:val="none"/>
        </w:rPr>
      </w:pPr>
      <w:r/>
      <w:bookmarkEnd w:id="9"/>
      <w:r>
        <w:rPr>
          <w:color w:val="000000"/>
          <w:sz w:val="24"/>
          <w:highlight w:val="none"/>
        </w:rPr>
        <w:t xml:space="preserve">采购需求：采购</w:t>
      </w:r>
      <w:r>
        <w:rPr>
          <w:rFonts w:hint="eastAsia"/>
          <w:color w:val="000000"/>
          <w:sz w:val="24"/>
          <w:highlight w:val="none"/>
          <w:lang w:eastAsia="zh-CN"/>
        </w:rPr>
        <w:t xml:space="preserve">2026年度净水站运维社会化服务</w:t>
      </w:r>
      <w:r>
        <w:rPr>
          <w:color w:val="000000"/>
          <w:sz w:val="24"/>
          <w:highlight w:val="none"/>
        </w:rPr>
        <w:t xml:space="preserve">，详见</w:t>
      </w:r>
      <w:r>
        <w:rPr>
          <w:rFonts w:hint="eastAsia"/>
          <w:color w:val="000000"/>
          <w:sz w:val="24"/>
          <w:highlight w:val="none"/>
          <w:lang w:eastAsia="zh-CN"/>
        </w:rPr>
        <w:t xml:space="preserve">“</w:t>
      </w:r>
      <w:r>
        <w:rPr>
          <w:color w:val="000000"/>
          <w:sz w:val="24"/>
          <w:highlight w:val="none"/>
        </w:rPr>
        <w:t xml:space="preserve">第五章 采购需求</w:t>
      </w:r>
      <w:r>
        <w:rPr>
          <w:rFonts w:hint="eastAsia"/>
          <w:color w:val="000000"/>
          <w:sz w:val="24"/>
          <w:highlight w:val="none"/>
          <w:lang w:eastAsia="zh-CN"/>
        </w:rPr>
        <w:t xml:space="preserve">”</w:t>
      </w:r>
      <w:r>
        <w:rPr>
          <w:color w:val="000000"/>
          <w:sz w:val="24"/>
          <w:highlight w:val="none"/>
        </w:rPr>
        <w:t xml:space="preserve">。</w:t>
      </w:r>
      <w:r>
        <w:rPr>
          <w:color w:val="000000"/>
          <w:sz w:val="24"/>
          <w:highlight w:val="none"/>
        </w:rPr>
      </w:r>
      <w:r/>
    </w:p>
    <w:tbl>
      <w:tblPr>
        <w:tblW w:w="86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108"/>
        <w:gridCol w:w="4050"/>
        <w:gridCol w:w="1560"/>
      </w:tblGrid>
      <w:tr>
        <w:trPr>
          <w:cantSplit/>
          <w:trHeight w:val="659"/>
        </w:trPr>
        <w:tc>
          <w:tcPr>
            <w:tcW w:w="948" w:type="dxa"/>
            <w:vAlign w:val="center"/>
            <w:textDirection w:val="lrTb"/>
            <w:noWrap w:val="false"/>
          </w:tcPr>
          <w:p>
            <w:pPr>
              <w:pStyle w:val="1005"/>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2108" w:type="dxa"/>
            <w:vAlign w:val="center"/>
            <w:textDirection w:val="lrTb"/>
            <w:noWrap w:val="false"/>
          </w:tcPr>
          <w:p>
            <w:pPr>
              <w:pStyle w:val="1005"/>
              <w:jc w:val="center"/>
              <w:rPr>
                <w:rFonts w:ascii="宋体" w:hAnsi="宋体"/>
                <w:color w:val="000000"/>
                <w:sz w:val="24"/>
                <w:highlight w:val="none"/>
              </w:rPr>
            </w:pPr>
            <w:r>
              <w:rPr>
                <w:rFonts w:hint="eastAsia" w:ascii="宋体" w:hAnsi="宋体"/>
                <w:color w:val="000000"/>
                <w:sz w:val="24"/>
                <w:highlight w:val="none"/>
              </w:rPr>
              <w:t xml:space="preserve">服务名称</w:t>
            </w:r>
            <w:r>
              <w:rPr>
                <w:rFonts w:ascii="宋体" w:hAnsi="宋体"/>
                <w:color w:val="000000"/>
                <w:sz w:val="24"/>
                <w:highlight w:val="none"/>
              </w:rPr>
            </w:r>
            <w:r/>
          </w:p>
        </w:tc>
        <w:tc>
          <w:tcPr>
            <w:tcW w:w="4050" w:type="dxa"/>
            <w:vAlign w:val="center"/>
            <w:textDirection w:val="lrTb"/>
            <w:noWrap w:val="false"/>
          </w:tcPr>
          <w:p>
            <w:pPr>
              <w:pStyle w:val="1005"/>
              <w:jc w:val="center"/>
              <w:rPr>
                <w:rFonts w:ascii="宋体" w:hAnsi="宋体"/>
                <w:color w:val="000000"/>
                <w:sz w:val="24"/>
                <w:highlight w:val="none"/>
              </w:rPr>
            </w:pPr>
            <w:r>
              <w:rPr>
                <w:rFonts w:hint="eastAsia" w:ascii="宋体" w:hAnsi="宋体"/>
                <w:color w:val="000000"/>
                <w:sz w:val="24"/>
                <w:highlight w:val="none"/>
              </w:rPr>
              <w:t xml:space="preserve">服务内容</w:t>
            </w:r>
            <w:r>
              <w:rPr>
                <w:rFonts w:ascii="宋体" w:hAnsi="宋体"/>
                <w:color w:val="000000"/>
                <w:sz w:val="24"/>
                <w:highlight w:val="none"/>
              </w:rPr>
            </w:r>
            <w:r/>
          </w:p>
        </w:tc>
        <w:tc>
          <w:tcPr>
            <w:tcW w:w="1560" w:type="dxa"/>
            <w:vAlign w:val="center"/>
            <w:textDirection w:val="lrTb"/>
            <w:noWrap w:val="false"/>
          </w:tcPr>
          <w:p>
            <w:pPr>
              <w:pStyle w:val="1005"/>
              <w:jc w:val="center"/>
              <w:rPr>
                <w:rFonts w:ascii="宋体" w:hAnsi="宋体"/>
                <w:color w:val="000000"/>
                <w:sz w:val="24"/>
                <w:highlight w:val="none"/>
              </w:rPr>
            </w:pPr>
            <w:r>
              <w:rPr>
                <w:rFonts w:hint="eastAsia" w:ascii="宋体" w:hAnsi="宋体"/>
                <w:color w:val="000000"/>
                <w:sz w:val="24"/>
                <w:highlight w:val="none"/>
              </w:rPr>
              <w:t xml:space="preserve">最高限价</w:t>
            </w:r>
            <w:r>
              <w:rPr>
                <w:rFonts w:ascii="宋体" w:hAnsi="宋体"/>
                <w:color w:val="000000"/>
                <w:sz w:val="24"/>
                <w:highlight w:val="none"/>
              </w:rPr>
            </w:r>
            <w:r/>
          </w:p>
        </w:tc>
      </w:tr>
      <w:tr>
        <w:trPr>
          <w:cantSplit/>
          <w:trHeight w:val="654"/>
        </w:trPr>
        <w:tc>
          <w:tcPr>
            <w:tcW w:w="948" w:type="dxa"/>
            <w:vAlign w:val="center"/>
            <w:textDirection w:val="lrTb"/>
            <w:noWrap w:val="false"/>
          </w:tcPr>
          <w:p>
            <w:pPr>
              <w:pStyle w:val="1005"/>
              <w:jc w:val="center"/>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2108" w:type="dxa"/>
            <w:vAlign w:val="center"/>
            <w:textDirection w:val="lrTb"/>
            <w:noWrap w:val="false"/>
          </w:tcPr>
          <w:p>
            <w:pPr>
              <w:pStyle w:val="1005"/>
              <w:jc w:val="center"/>
              <w:rPr>
                <w:rFonts w:ascii="宋体" w:hAnsi="宋体"/>
                <w:color w:val="000000"/>
                <w:sz w:val="24"/>
                <w:highlight w:val="none"/>
              </w:rPr>
            </w:pPr>
            <w:r>
              <w:rPr>
                <w:rFonts w:hint="eastAsia" w:ascii="宋体" w:hAnsi="宋体"/>
                <w:color w:val="000000"/>
                <w:sz w:val="24"/>
                <w:highlight w:val="none"/>
              </w:rPr>
              <w:t xml:space="preserve">净水站运维-超磁工艺</w:t>
            </w:r>
            <w:r>
              <w:rPr>
                <w:rFonts w:ascii="宋体" w:hAnsi="宋体"/>
                <w:color w:val="000000"/>
                <w:sz w:val="24"/>
                <w:highlight w:val="none"/>
              </w:rPr>
            </w:r>
            <w:r/>
          </w:p>
        </w:tc>
        <w:tc>
          <w:tcPr>
            <w:tcW w:w="4050" w:type="dxa"/>
            <w:vAlign w:val="center"/>
            <w:textDirection w:val="lrTb"/>
            <w:noWrap w:val="false"/>
          </w:tcPr>
          <w:p>
            <w:pPr>
              <w:pStyle w:val="1005"/>
              <w:jc w:val="center"/>
              <w:rPr>
                <w:rFonts w:ascii="宋体" w:hAnsi="宋体"/>
                <w:color w:val="000000"/>
                <w:sz w:val="24"/>
                <w:highlight w:val="none"/>
              </w:rPr>
            </w:pPr>
            <w:r>
              <w:rPr>
                <w:rFonts w:hint="eastAsia" w:ascii="宋体" w:hAnsi="宋体"/>
                <w:color w:val="000000"/>
                <w:sz w:val="24"/>
                <w:highlight w:val="none"/>
              </w:rPr>
              <w:t xml:space="preserve">广化桥、椿桂园、青山绿地、五星、双桥，预估补水量</w:t>
            </w:r>
            <w:r>
              <w:rPr>
                <w:rFonts w:ascii="宋体" w:hAnsi="宋体"/>
                <w:color w:val="000000"/>
                <w:sz w:val="24"/>
                <w:highlight w:val="none"/>
              </w:rPr>
              <w:t xml:space="preserve">3</w:t>
            </w:r>
            <w:r>
              <w:rPr>
                <w:rFonts w:hint="eastAsia" w:ascii="宋体" w:hAnsi="宋体"/>
                <w:color w:val="000000"/>
                <w:sz w:val="24"/>
                <w:highlight w:val="none"/>
              </w:rPr>
              <w:t xml:space="preserve">250万吨/年</w:t>
            </w:r>
            <w:r>
              <w:rPr>
                <w:rFonts w:ascii="宋体" w:hAnsi="宋体"/>
                <w:color w:val="000000"/>
                <w:sz w:val="24"/>
                <w:highlight w:val="none"/>
              </w:rPr>
            </w:r>
            <w:r/>
          </w:p>
        </w:tc>
        <w:tc>
          <w:tcPr>
            <w:tcW w:w="1560" w:type="dxa"/>
            <w:vAlign w:val="center"/>
            <w:textDirection w:val="lrTb"/>
            <w:noWrap w:val="false"/>
          </w:tcPr>
          <w:p>
            <w:pPr>
              <w:pStyle w:val="1005"/>
              <w:jc w:val="center"/>
              <w:rPr>
                <w:rFonts w:ascii="宋体" w:hAnsi="宋体"/>
                <w:color w:val="000000"/>
                <w:sz w:val="24"/>
                <w:highlight w:val="none"/>
              </w:rPr>
            </w:pPr>
            <w:r>
              <w:rPr>
                <w:rFonts w:hint="eastAsia" w:ascii="宋体" w:hAnsi="宋体"/>
                <w:color w:val="000000"/>
                <w:sz w:val="24"/>
                <w:highlight w:val="none"/>
              </w:rPr>
              <w:t xml:space="preserve">0.085元/吨</w:t>
            </w:r>
            <w:r>
              <w:rPr>
                <w:rFonts w:ascii="宋体" w:hAnsi="宋体"/>
                <w:color w:val="000000"/>
                <w:sz w:val="24"/>
                <w:highlight w:val="none"/>
              </w:rPr>
            </w:r>
            <w:r/>
          </w:p>
        </w:tc>
      </w:tr>
      <w:tr>
        <w:trPr>
          <w:cantSplit/>
          <w:trHeight w:val="654"/>
        </w:trPr>
        <w:tc>
          <w:tcPr>
            <w:tcW w:w="948" w:type="dxa"/>
            <w:vAlign w:val="center"/>
            <w:textDirection w:val="lrTb"/>
            <w:noWrap w:val="false"/>
          </w:tcPr>
          <w:p>
            <w:pPr>
              <w:pStyle w:val="1005"/>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2108" w:type="dxa"/>
            <w:vAlign w:val="center"/>
            <w:textDirection w:val="lrTb"/>
            <w:noWrap w:val="false"/>
          </w:tcPr>
          <w:p>
            <w:pPr>
              <w:pStyle w:val="1005"/>
              <w:jc w:val="center"/>
              <w:rPr>
                <w:rFonts w:ascii="宋体" w:hAnsi="宋体"/>
                <w:color w:val="000000"/>
                <w:sz w:val="24"/>
                <w:highlight w:val="none"/>
              </w:rPr>
            </w:pPr>
            <w:r>
              <w:rPr>
                <w:rFonts w:hint="eastAsia" w:ascii="宋体" w:hAnsi="宋体"/>
                <w:color w:val="000000"/>
                <w:sz w:val="24"/>
                <w:highlight w:val="none"/>
              </w:rPr>
              <w:t xml:space="preserve">净水站运维-混凝沉淀工艺</w:t>
            </w:r>
            <w:r>
              <w:rPr>
                <w:rFonts w:ascii="宋体" w:hAnsi="宋体"/>
                <w:color w:val="000000"/>
                <w:sz w:val="24"/>
                <w:highlight w:val="none"/>
              </w:rPr>
            </w:r>
            <w:r/>
          </w:p>
        </w:tc>
        <w:tc>
          <w:tcPr>
            <w:tcW w:w="4050" w:type="dxa"/>
            <w:vAlign w:val="center"/>
            <w:textDirection w:val="lrTb"/>
            <w:noWrap w:val="false"/>
          </w:tcPr>
          <w:p>
            <w:pPr>
              <w:pStyle w:val="1005"/>
              <w:jc w:val="center"/>
              <w:rPr>
                <w:rFonts w:ascii="宋体" w:hAnsi="宋体"/>
                <w:color w:val="000000"/>
                <w:sz w:val="24"/>
                <w:highlight w:val="none"/>
              </w:rPr>
            </w:pPr>
            <w:r>
              <w:rPr>
                <w:rFonts w:hint="eastAsia" w:ascii="宋体" w:hAnsi="宋体"/>
                <w:color w:val="000000"/>
                <w:sz w:val="24"/>
                <w:highlight w:val="none"/>
              </w:rPr>
              <w:t xml:space="preserve">章家浜、三宝浜，预估补水量320万吨/年</w:t>
            </w:r>
            <w:r>
              <w:rPr>
                <w:rFonts w:ascii="宋体" w:hAnsi="宋体"/>
                <w:color w:val="000000"/>
                <w:sz w:val="24"/>
                <w:highlight w:val="none"/>
              </w:rPr>
            </w:r>
            <w:r/>
          </w:p>
        </w:tc>
        <w:tc>
          <w:tcPr>
            <w:tcW w:w="1560" w:type="dxa"/>
            <w:vAlign w:val="center"/>
            <w:textDirection w:val="lrTb"/>
            <w:noWrap w:val="false"/>
          </w:tcPr>
          <w:p>
            <w:pPr>
              <w:pStyle w:val="1005"/>
              <w:jc w:val="center"/>
              <w:rPr>
                <w:rFonts w:ascii="宋体" w:hAnsi="宋体"/>
                <w:color w:val="000000"/>
                <w:sz w:val="24"/>
                <w:highlight w:val="none"/>
              </w:rPr>
            </w:pPr>
            <w:r>
              <w:rPr>
                <w:rFonts w:hint="eastAsia" w:ascii="宋体" w:hAnsi="宋体"/>
                <w:color w:val="000000"/>
                <w:sz w:val="24"/>
                <w:highlight w:val="none"/>
              </w:rPr>
              <w:t xml:space="preserve">0.065元/吨</w:t>
            </w:r>
            <w:r>
              <w:rPr>
                <w:rFonts w:ascii="宋体" w:hAnsi="宋体"/>
                <w:color w:val="000000"/>
                <w:sz w:val="24"/>
                <w:highlight w:val="none"/>
              </w:rPr>
            </w:r>
            <w:r/>
          </w:p>
        </w:tc>
      </w:tr>
    </w:tbl>
    <w:p>
      <w:pPr>
        <w:pStyle w:val="1005"/>
        <w:ind w:firstLine="480"/>
        <w:spacing w:line="360" w:lineRule="auto"/>
        <w:rPr>
          <w:color w:val="000000"/>
          <w:sz w:val="24"/>
          <w:highlight w:val="none"/>
          <w:u w:val="single"/>
        </w:rPr>
      </w:pPr>
      <w:r>
        <w:rPr>
          <w:color w:val="000000"/>
          <w:sz w:val="24"/>
          <w:highlight w:val="none"/>
        </w:rPr>
        <w:t xml:space="preserve">合同履行期限：</w:t>
      </w:r>
      <w:bookmarkStart w:id="10" w:name="_Hlk126141983"/>
      <w:r>
        <w:rPr>
          <w:rFonts w:hint="eastAsia" w:ascii="宋体" w:hAnsi="宋体"/>
          <w:color w:val="000000"/>
          <w:sz w:val="24"/>
          <w:highlight w:val="none"/>
        </w:rPr>
        <w:t xml:space="preserve">自合同签订之日起至2026年11月30日</w:t>
      </w:r>
      <w:r>
        <w:rPr>
          <w:color w:val="000000"/>
          <w:sz w:val="24"/>
          <w:highlight w:val="none"/>
        </w:rPr>
        <w:t xml:space="preserve">。</w:t>
      </w:r>
      <w:bookmarkEnd w:id="10"/>
      <w:r>
        <w:rPr>
          <w:color w:val="000000"/>
          <w:sz w:val="24"/>
          <w:highlight w:val="none"/>
          <w:u w:val="single"/>
        </w:rPr>
      </w:r>
      <w:r/>
    </w:p>
    <w:p>
      <w:pPr>
        <w:pStyle w:val="1005"/>
        <w:ind w:firstLine="480"/>
        <w:spacing w:line="360" w:lineRule="auto"/>
        <w:rPr>
          <w:color w:val="000000"/>
          <w:sz w:val="24"/>
          <w:highlight w:val="none"/>
        </w:rPr>
      </w:pPr>
      <w:r>
        <w:rPr>
          <w:color w:val="000000"/>
          <w:sz w:val="24"/>
          <w:highlight w:val="none"/>
        </w:rPr>
        <w:t xml:space="preserve">本项目是否接受联合体投标：□是  </w:t>
      </w:r>
      <w:r>
        <w:rPr>
          <w:color w:val="000000"/>
          <w:highlight w:val="none"/>
        </w:rPr>
        <w:t xml:space="preserve">■</w:t>
      </w:r>
      <w:r>
        <w:rPr>
          <w:color w:val="000000"/>
          <w:sz w:val="24"/>
          <w:highlight w:val="none"/>
        </w:rPr>
        <w:t xml:space="preserve">否。</w:t>
      </w:r>
      <w:r>
        <w:rPr>
          <w:color w:val="000000"/>
          <w:sz w:val="24"/>
          <w:highlight w:val="none"/>
        </w:rPr>
      </w:r>
      <w:r/>
    </w:p>
    <w:p>
      <w:pPr>
        <w:pStyle w:val="1005"/>
        <w:ind w:firstLine="480"/>
        <w:spacing w:line="360" w:lineRule="auto"/>
        <w:rPr>
          <w:color w:val="000000"/>
          <w:sz w:val="24"/>
          <w:highlight w:val="none"/>
        </w:rPr>
      </w:pPr>
      <w:r>
        <w:rPr>
          <w:color w:val="000000"/>
          <w:sz w:val="24"/>
          <w:highlight w:val="none"/>
        </w:rPr>
        <w:t xml:space="preserve">本项目是否接受进口产品投标：□是  ■否。</w:t>
      </w:r>
      <w:r>
        <w:rPr>
          <w:color w:val="000000"/>
          <w:sz w:val="24"/>
          <w:highlight w:val="none"/>
        </w:rPr>
      </w:r>
      <w:r/>
    </w:p>
    <w:p>
      <w:pPr>
        <w:pStyle w:val="1007"/>
        <w:jc w:val="left"/>
        <w:spacing w:before="0" w:line="360" w:lineRule="auto"/>
        <w:rPr>
          <w:rFonts w:ascii="Times New Roman" w:hAnsi="Times New Roman" w:eastAsia="宋体"/>
          <w:color w:val="000000"/>
          <w:sz w:val="24"/>
          <w:szCs w:val="24"/>
          <w:highlight w:val="none"/>
        </w:rPr>
      </w:pPr>
      <w:r/>
      <w:bookmarkStart w:id="11" w:name="_Toc28359003"/>
      <w:r/>
      <w:bookmarkStart w:id="12" w:name="_Toc28359080"/>
      <w:r/>
      <w:bookmarkStart w:id="13" w:name="_Toc35393622"/>
      <w:r/>
      <w:bookmarkStart w:id="14" w:name="_Toc35393791"/>
      <w:r>
        <w:rPr>
          <w:rFonts w:ascii="Times New Roman" w:hAnsi="Times New Roman" w:eastAsia="宋体"/>
          <w:color w:val="000000"/>
          <w:sz w:val="24"/>
          <w:szCs w:val="24"/>
          <w:highlight w:val="none"/>
        </w:rPr>
        <w:t xml:space="preserve">二、申请人的资格要求（须同时满足）</w:t>
      </w:r>
      <w:bookmarkEnd w:id="11"/>
      <w:r/>
      <w:bookmarkEnd w:id="12"/>
      <w:r/>
      <w:bookmarkEnd w:id="13"/>
      <w:r/>
      <w:bookmarkEnd w:id="14"/>
      <w:r>
        <w:rPr>
          <w:rFonts w:ascii="Times New Roman" w:hAnsi="Times New Roman" w:eastAsia="宋体"/>
          <w:color w:val="000000"/>
          <w:sz w:val="24"/>
          <w:szCs w:val="24"/>
          <w:highlight w:val="none"/>
        </w:rPr>
      </w:r>
      <w:r/>
    </w:p>
    <w:p>
      <w:pPr>
        <w:pStyle w:val="1005"/>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1005"/>
        <w:ind w:firstLine="480"/>
        <w:spacing w:line="360" w:lineRule="auto"/>
        <w:rPr>
          <w:color w:val="000000"/>
          <w:sz w:val="24"/>
          <w:highlight w:val="none"/>
        </w:rPr>
      </w:pPr>
      <w:r>
        <w:rPr>
          <w:rFonts w:hint="eastAsia"/>
          <w:color w:val="000000"/>
          <w:sz w:val="24"/>
          <w:highlight w:val="none"/>
        </w:rPr>
        <w:t xml:space="preserve">1.1未被</w:t>
      </w:r>
      <w:r>
        <w:rPr>
          <w:rFonts w:hint="eastAsia"/>
          <w:color w:val="000000"/>
          <w:sz w:val="24"/>
          <w:highlight w:val="none"/>
          <w:lang w:eastAsia="zh-CN"/>
        </w:rPr>
        <w:t xml:space="preserve">“</w:t>
      </w:r>
      <w:r>
        <w:rPr>
          <w:rFonts w:hint="eastAsia"/>
          <w:color w:val="000000"/>
          <w:sz w:val="24"/>
          <w:highlight w:val="none"/>
        </w:rPr>
        <w:t xml:space="preserve">信用中国</w:t>
      </w:r>
      <w:r>
        <w:rPr>
          <w:rFonts w:hint="eastAsia"/>
          <w:color w:val="000000"/>
          <w:sz w:val="24"/>
          <w:highlight w:val="none"/>
          <w:lang w:eastAsia="zh-CN"/>
        </w:rPr>
        <w:t xml:space="preserve">”</w:t>
      </w:r>
      <w:r>
        <w:rPr>
          <w:rFonts w:hint="eastAsia"/>
          <w:color w:val="000000"/>
          <w:sz w:val="24"/>
          <w:highlight w:val="none"/>
        </w:rPr>
        <w:t xml:space="preserve">网站（WWW.creditchina.gov.cn）或</w:t>
      </w:r>
      <w:r>
        <w:rPr>
          <w:rFonts w:hint="eastAsia"/>
          <w:color w:val="000000"/>
          <w:sz w:val="24"/>
          <w:highlight w:val="none"/>
          <w:lang w:eastAsia="zh-CN"/>
        </w:rPr>
        <w:t xml:space="preserve">“</w:t>
      </w:r>
      <w:r>
        <w:rPr>
          <w:rFonts w:hint="eastAsia"/>
          <w:color w:val="000000"/>
          <w:sz w:val="24"/>
          <w:highlight w:val="none"/>
        </w:rPr>
        <w:t xml:space="preserve">中国政府采购网</w:t>
      </w:r>
      <w:r>
        <w:rPr>
          <w:rFonts w:hint="eastAsia"/>
          <w:color w:val="000000"/>
          <w:sz w:val="24"/>
          <w:highlight w:val="none"/>
          <w:lang w:eastAsia="zh-CN"/>
        </w:rPr>
        <w:t xml:space="preserve">”</w:t>
      </w:r>
      <w:r>
        <w:rPr>
          <w:rFonts w:hint="eastAsia"/>
          <w:color w:val="000000"/>
          <w:sz w:val="24"/>
          <w:highlight w:val="none"/>
        </w:rPr>
        <w:t xml:space="preserve">网站（www.ccgp.gov.cn）列入失信被执行人、重大税收违法案件当事人名单、政府采购严重失信行为记录名单；</w:t>
      </w:r>
      <w:r>
        <w:rPr>
          <w:color w:val="000000"/>
          <w:sz w:val="24"/>
          <w:highlight w:val="none"/>
        </w:rPr>
      </w:r>
      <w:r/>
    </w:p>
    <w:p>
      <w:pPr>
        <w:pStyle w:val="1005"/>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sz w:val="24"/>
          <w:highlight w:val="none"/>
        </w:rPr>
      </w:r>
      <w:r/>
    </w:p>
    <w:p>
      <w:pPr>
        <w:pStyle w:val="1005"/>
        <w:ind w:firstLine="480"/>
        <w:spacing w:line="360" w:lineRule="auto"/>
        <w:rPr>
          <w:color w:val="000000"/>
          <w:sz w:val="24"/>
          <w:highlight w:val="none"/>
        </w:rPr>
      </w:pPr>
      <w:r/>
      <w:bookmarkStart w:id="15" w:name="_Toc28359081"/>
      <w:r/>
      <w:bookmarkStart w:id="16" w:name="_Toc28359004"/>
      <w:r>
        <w:rPr>
          <w:color w:val="000000"/>
          <w:sz w:val="24"/>
          <w:highlight w:val="none"/>
        </w:rPr>
        <w:t xml:space="preserve">2.落实政府采购政策需满足的资格要求：</w:t>
      </w:r>
      <w:r>
        <w:rPr>
          <w:color w:val="000000"/>
          <w:sz w:val="24"/>
          <w:highlight w:val="none"/>
        </w:rPr>
      </w:r>
      <w:r/>
    </w:p>
    <w:p>
      <w:pPr>
        <w:pStyle w:val="1005"/>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1005"/>
        <w:ind w:firstLine="480"/>
        <w:spacing w:line="360" w:lineRule="auto"/>
        <w:rPr>
          <w:rFonts w:hint="eastAsia" w:ascii="宋体" w:hAnsi="宋体" w:cs="宋体"/>
          <w:color w:val="000000"/>
          <w:sz w:val="24"/>
          <w:highlight w:val="none"/>
        </w:rPr>
      </w:pPr>
      <w:r>
        <w:rPr>
          <w:color w:val="000000"/>
          <w:sz w:val="24"/>
          <w:highlight w:val="none"/>
        </w:rPr>
        <w:t xml:space="preserve">■</w:t>
      </w:r>
      <w:r>
        <w:rPr>
          <w:rFonts w:hint="eastAsia" w:ascii="宋体" w:hAnsi="宋体" w:cs="宋体"/>
          <w:color w:val="000000"/>
          <w:sz w:val="24"/>
          <w:highlight w:val="none"/>
        </w:rPr>
        <w:t xml:space="preserve">本项目专门面向  </w:t>
      </w:r>
      <w:r>
        <w:rPr>
          <w:color w:val="000000"/>
          <w:sz w:val="24"/>
          <w:highlight w:val="none"/>
        </w:rPr>
        <w:t xml:space="preserve">■</w:t>
      </w:r>
      <w:r>
        <w:rPr>
          <w:rFonts w:hint="eastAsia" w:ascii="宋体" w:hAnsi="宋体" w:cs="宋体"/>
          <w:color w:val="000000"/>
          <w:sz w:val="24"/>
          <w:highlight w:val="none"/>
        </w:rPr>
        <w:t xml:space="preserve">中小 </w:t>
      </w:r>
      <w:r>
        <w:rPr>
          <w:color w:val="000000"/>
          <w:sz w:val="24"/>
          <w:highlight w:val="none"/>
        </w:rPr>
        <w:t xml:space="preserve">□</w:t>
      </w:r>
      <w:r>
        <w:rPr>
          <w:rFonts w:hint="eastAsia" w:ascii="宋体" w:hAnsi="宋体" w:cs="宋体"/>
          <w:color w:val="000000"/>
          <w:sz w:val="24"/>
          <w:highlight w:val="none"/>
        </w:rPr>
        <w:t xml:space="preserve">小微企业  采购。即：提供的服务全部由符合政策要求的中小/小微企业承接。</w:t>
      </w:r>
      <w:r>
        <w:rPr>
          <w:rFonts w:hint="eastAsia" w:ascii="宋体" w:hAnsi="宋体" w:cs="宋体"/>
          <w:color w:val="000000"/>
          <w:sz w:val="24"/>
          <w:highlight w:val="none"/>
        </w:rPr>
      </w:r>
      <w:r/>
    </w:p>
    <w:p>
      <w:pPr>
        <w:pStyle w:val="1005"/>
        <w:ind w:firstLine="480"/>
        <w:spacing w:line="360" w:lineRule="auto"/>
        <w:rPr>
          <w:rFonts w:hint="eastAsia" w:ascii="宋体" w:hAnsi="宋体" w:cs="宋体"/>
          <w:color w:val="000000"/>
          <w:sz w:val="24"/>
          <w:highlight w:val="none"/>
        </w:rPr>
      </w:pPr>
      <w:r>
        <w:rPr>
          <w:color w:val="000000"/>
          <w:sz w:val="24"/>
          <w:highlight w:val="none"/>
        </w:rPr>
        <w:t xml:space="preserve">2.2 其它落实政府采购政策的资格要求（如有）：</w:t>
      </w:r>
      <w:r>
        <w:rPr>
          <w:rFonts w:hint="eastAsia"/>
          <w:color w:val="000000"/>
          <w:sz w:val="24"/>
          <w:highlight w:val="none"/>
        </w:rPr>
        <w:t xml:space="preserve">无</w:t>
      </w:r>
      <w:r>
        <w:rPr>
          <w:rFonts w:hint="eastAsia" w:ascii="宋体" w:hAnsi="宋体" w:cs="宋体"/>
          <w:color w:val="000000"/>
          <w:sz w:val="24"/>
          <w:highlight w:val="none"/>
        </w:rPr>
      </w:r>
      <w:r/>
    </w:p>
    <w:p>
      <w:pPr>
        <w:pStyle w:val="1005"/>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1005"/>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3.1本项目是否接受分支机构参与投标：□是   ■否；</w:t>
      </w:r>
      <w:r>
        <w:rPr>
          <w:color w:val="000000"/>
          <w:sz w:val="24"/>
          <w:highlight w:val="none"/>
        </w:rPr>
      </w:r>
      <w:r/>
    </w:p>
    <w:p>
      <w:pPr>
        <w:pStyle w:val="1005"/>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1005"/>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■否</w:t>
      </w:r>
      <w:r>
        <w:rPr>
          <w:color w:val="000000"/>
          <w:sz w:val="24"/>
          <w:highlight w:val="none"/>
        </w:rPr>
      </w:r>
      <w:r/>
    </w:p>
    <w:p>
      <w:pPr>
        <w:pStyle w:val="1005"/>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□是，公益一类事业单位、使用事业编制且由财政拨款保障的群团组织，不得作为承接主体；</w:t>
      </w:r>
      <w:r>
        <w:rPr>
          <w:color w:val="000000"/>
          <w:sz w:val="24"/>
          <w:highlight w:val="none"/>
        </w:rPr>
      </w:r>
      <w:r/>
    </w:p>
    <w:p>
      <w:pPr>
        <w:pStyle w:val="1005"/>
        <w:ind w:firstLine="480"/>
        <w:spacing w:line="360" w:lineRule="auto"/>
        <w:tabs>
          <w:tab w:val="left" w:pos="900" w:leader="none"/>
          <w:tab w:val="left" w:pos="1134" w:leader="none"/>
          <w:tab w:val="left" w:pos="1589" w:leader="none"/>
          <w:tab w:val="left" w:pos="5521" w:leader="none"/>
        </w:tabs>
        <w:rPr>
          <w:rFonts w:hint="eastAsia"/>
          <w:color w:val="000000"/>
          <w:sz w:val="24"/>
          <w:highlight w:val="none"/>
        </w:rPr>
      </w:pPr>
      <w:r>
        <w:rPr>
          <w:color w:val="000000"/>
          <w:sz w:val="24"/>
          <w:highlight w:val="none"/>
        </w:rPr>
        <w:t xml:space="preserve">3.3其他特定资格要求</w:t>
      </w:r>
      <w:r>
        <w:rPr>
          <w:rFonts w:hint="eastAsia"/>
          <w:color w:val="000000"/>
          <w:sz w:val="24"/>
          <w:highlight w:val="none"/>
        </w:rPr>
        <w:t xml:space="preserve">：无。</w:t>
      </w:r>
      <w:r>
        <w:rPr>
          <w:rFonts w:hint="eastAsia"/>
          <w:color w:val="000000"/>
          <w:sz w:val="24"/>
          <w:highlight w:val="none"/>
        </w:rPr>
      </w:r>
      <w:r/>
    </w:p>
    <w:p>
      <w:pPr>
        <w:pStyle w:val="1007"/>
        <w:jc w:val="left"/>
        <w:spacing w:before="0" w:line="360" w:lineRule="auto"/>
        <w:widowControl/>
        <w:rPr>
          <w:rFonts w:ascii="Times New Roman" w:hAnsi="Times New Roman" w:eastAsia="宋体"/>
          <w:color w:val="000000"/>
          <w:sz w:val="24"/>
          <w:szCs w:val="24"/>
          <w:highlight w:val="none"/>
        </w:rPr>
      </w:pPr>
      <w:r/>
      <w:bookmarkEnd w:id="15"/>
      <w:r/>
      <w:bookmarkEnd w:id="16"/>
      <w:r/>
      <w:bookmarkStart w:id="17" w:name="_Toc35393623"/>
      <w:r/>
      <w:bookmarkStart w:id="18" w:name="_Toc35393792"/>
      <w:r>
        <w:rPr>
          <w:rFonts w:ascii="Times New Roman" w:hAnsi="Times New Roman" w:eastAsia="宋体"/>
          <w:color w:val="000000"/>
          <w:sz w:val="24"/>
          <w:szCs w:val="24"/>
          <w:highlight w:val="none"/>
        </w:rPr>
        <w:t xml:space="preserve">三、获取招标文件</w:t>
      </w:r>
      <w:bookmarkEnd w:id="17"/>
      <w:r/>
      <w:bookmarkEnd w:id="18"/>
      <w:r>
        <w:rPr>
          <w:rFonts w:ascii="Times New Roman" w:hAnsi="Times New Roman" w:eastAsia="宋体"/>
          <w:color w:val="000000"/>
          <w:sz w:val="24"/>
          <w:szCs w:val="24"/>
          <w:highlight w:val="none"/>
        </w:rPr>
      </w:r>
      <w:r/>
    </w:p>
    <w:p>
      <w:pPr>
        <w:pStyle w:val="1005"/>
        <w:ind w:firstLine="480"/>
        <w:spacing w:line="360" w:lineRule="auto"/>
        <w:rPr>
          <w:color w:val="000000"/>
          <w:sz w:val="24"/>
          <w:highlight w:val="none"/>
          <w:lang w:bidi="ar"/>
        </w:rPr>
      </w:pPr>
      <w:r>
        <w:rPr>
          <w:color w:val="000000"/>
          <w:sz w:val="24"/>
          <w:highlight w:val="none"/>
          <w:lang w:bidi="ar"/>
        </w:rPr>
        <w:t xml:space="preserve">时间：</w:t>
      </w:r>
      <w:r>
        <w:rPr>
          <w:rFonts w:hint="eastAsia" w:ascii="宋体" w:hAnsi="宋体"/>
          <w:color w:val="000000"/>
          <w:sz w:val="24"/>
          <w:highlight w:val="none"/>
          <w:lang w:bidi="ar"/>
        </w:rPr>
        <w:t xml:space="preserve">自招标文件公告发布之日起5个工作日</w:t>
      </w:r>
      <w:r>
        <w:rPr>
          <w:color w:val="000000"/>
          <w:sz w:val="24"/>
          <w:highlight w:val="none"/>
          <w:lang w:bidi="ar"/>
        </w:rPr>
      </w:r>
      <w:r/>
    </w:p>
    <w:p>
      <w:pPr>
        <w:pStyle w:val="1005"/>
        <w:ind w:firstLine="480"/>
        <w:spacing w:line="360" w:lineRule="auto"/>
        <w:rPr>
          <w:rFonts w:hint="eastAsia" w:eastAsia="宋体"/>
          <w:color w:val="000000"/>
          <w:sz w:val="24"/>
          <w:highlight w:val="none"/>
          <w:lang w:eastAsia="zh-CN"/>
        </w:rPr>
      </w:pPr>
      <w:r>
        <w:rPr>
          <w:color w:val="000000"/>
          <w:sz w:val="24"/>
          <w:highlight w:val="none"/>
          <w:lang w:bidi="ar"/>
        </w:rPr>
        <w:t xml:space="preserve">地点：</w:t>
      </w:r>
      <w:r>
        <w:rPr>
          <w:rFonts w:hint="eastAsia"/>
          <w:color w:val="000000"/>
          <w:sz w:val="24"/>
          <w:highlight w:val="none"/>
          <w:lang w:bidi="ar"/>
        </w:rPr>
        <w:t xml:space="preserve">政府采购一体化平台</w:t>
      </w:r>
      <w:r>
        <w:rPr>
          <w:rFonts w:hint="eastAsia"/>
          <w:color w:val="000000"/>
          <w:sz w:val="24"/>
          <w:highlight w:val="none"/>
          <w:lang w:eastAsia="zh-CN" w:bidi="ar"/>
        </w:rPr>
        <w:t xml:space="preserve">“</w:t>
      </w:r>
      <w:r>
        <w:rPr>
          <w:rFonts w:hint="eastAsia"/>
          <w:color w:val="000000"/>
          <w:sz w:val="24"/>
          <w:highlight w:val="none"/>
          <w:lang w:bidi="ar"/>
        </w:rPr>
        <w:t xml:space="preserve">苏采云</w:t>
      </w:r>
      <w:r>
        <w:rPr>
          <w:rFonts w:hint="eastAsia"/>
          <w:color w:val="000000"/>
          <w:sz w:val="24"/>
          <w:highlight w:val="none"/>
          <w:lang w:eastAsia="zh-CN" w:bidi="ar"/>
        </w:rPr>
        <w:t xml:space="preserve">”</w:t>
      </w:r>
      <w:r>
        <w:rPr>
          <w:rFonts w:hint="eastAsia" w:eastAsia="宋体"/>
          <w:color w:val="000000"/>
          <w:sz w:val="24"/>
          <w:highlight w:val="none"/>
          <w:lang w:eastAsia="zh-CN"/>
        </w:rPr>
      </w:r>
      <w:r/>
    </w:p>
    <w:p>
      <w:pPr>
        <w:pStyle w:val="1005"/>
        <w:ind w:firstLine="480"/>
        <w:jc w:val="left"/>
        <w:spacing w:line="360" w:lineRule="auto"/>
        <w:widowControl/>
        <w:rPr>
          <w:color w:val="000000"/>
          <w:sz w:val="24"/>
          <w:highlight w:val="none"/>
          <w:lang w:bidi="ar"/>
        </w:rPr>
      </w:pPr>
      <w:r>
        <w:rPr>
          <w:color w:val="000000"/>
          <w:sz w:val="24"/>
          <w:highlight w:val="none"/>
          <w:lang w:bidi="ar"/>
        </w:rPr>
        <w:t xml:space="preserve">方式：供应商持CA数字认证证书登录</w:t>
      </w:r>
      <w:r>
        <w:rPr>
          <w:rFonts w:hint="eastAsia"/>
          <w:color w:val="000000"/>
          <w:sz w:val="24"/>
          <w:highlight w:val="none"/>
          <w:lang w:bidi="ar"/>
        </w:rPr>
        <w:t xml:space="preserve">政府采购一体化平台</w:t>
      </w:r>
      <w:r>
        <w:rPr>
          <w:rFonts w:hint="eastAsia"/>
          <w:color w:val="000000"/>
          <w:sz w:val="24"/>
          <w:highlight w:val="none"/>
          <w:lang w:eastAsia="zh-CN" w:bidi="ar"/>
        </w:rPr>
        <w:t xml:space="preserve">“</w:t>
      </w:r>
      <w:r>
        <w:rPr>
          <w:rFonts w:hint="eastAsia"/>
          <w:color w:val="000000"/>
          <w:sz w:val="24"/>
          <w:highlight w:val="none"/>
          <w:lang w:bidi="ar"/>
        </w:rPr>
        <w:t xml:space="preserve">苏采云</w:t>
      </w:r>
      <w:r>
        <w:rPr>
          <w:rFonts w:hint="eastAsia"/>
          <w:color w:val="000000"/>
          <w:sz w:val="24"/>
          <w:highlight w:val="none"/>
          <w:lang w:eastAsia="zh-CN" w:bidi="ar"/>
        </w:rPr>
        <w:t xml:space="preserve">”</w:t>
      </w:r>
      <w:r>
        <w:rPr>
          <w:color w:val="000000"/>
          <w:sz w:val="24"/>
          <w:highlight w:val="none"/>
          <w:lang w:bidi="ar"/>
        </w:rPr>
        <w:t xml:space="preserve">（</w:t>
      </w:r>
      <w:r>
        <w:rPr>
          <w:rFonts w:hint="eastAsia"/>
          <w:color w:val="000000"/>
          <w:sz w:val="24"/>
          <w:highlight w:val="none"/>
          <w:lang w:bidi="ar"/>
        </w:rPr>
        <w:t xml:space="preserve">http：//jszfcg.jscz.gov.cn/jszc/login</w:t>
      </w:r>
      <w:r>
        <w:rPr>
          <w:color w:val="000000"/>
          <w:sz w:val="24"/>
          <w:highlight w:val="none"/>
          <w:lang w:bidi="ar"/>
        </w:rPr>
        <w:t xml:space="preserve">）获取电子版招标文件。</w:t>
      </w:r>
      <w:r>
        <w:rPr>
          <w:color w:val="000000"/>
          <w:sz w:val="24"/>
          <w:highlight w:val="none"/>
          <w:lang w:bidi="ar"/>
        </w:rPr>
      </w:r>
      <w:r/>
    </w:p>
    <w:p>
      <w:pPr>
        <w:pStyle w:val="1005"/>
        <w:ind w:firstLine="480"/>
        <w:jc w:val="left"/>
        <w:spacing w:line="360" w:lineRule="auto"/>
        <w:widowControl/>
        <w:rPr>
          <w:color w:val="000000"/>
          <w:sz w:val="24"/>
          <w:highlight w:val="none"/>
        </w:rPr>
      </w:pPr>
      <w:r>
        <w:rPr>
          <w:color w:val="000000"/>
          <w:sz w:val="24"/>
          <w:highlight w:val="none"/>
          <w:lang w:bidi="ar"/>
        </w:rPr>
        <w:t xml:space="preserve">4.售价：</w:t>
      </w:r>
      <w:r>
        <w:rPr>
          <w:rFonts w:hint="eastAsia"/>
          <w:color w:val="000000"/>
          <w:sz w:val="24"/>
          <w:highlight w:val="none"/>
          <w:u w:val="single"/>
          <w:lang w:bidi="ar"/>
        </w:rPr>
        <w:t xml:space="preserve">0</w:t>
      </w:r>
      <w:r>
        <w:rPr>
          <w:rFonts w:hint="eastAsia"/>
          <w:color w:val="000000"/>
          <w:sz w:val="24"/>
          <w:highlight w:val="none"/>
          <w:lang w:bidi="ar"/>
        </w:rPr>
        <w:t xml:space="preserve">元</w:t>
      </w:r>
      <w:r>
        <w:rPr>
          <w:color w:val="000000"/>
          <w:sz w:val="24"/>
          <w:highlight w:val="none"/>
          <w:lang w:bidi="ar"/>
        </w:rPr>
        <w:t xml:space="preserve">。</w:t>
      </w:r>
      <w:r>
        <w:rPr>
          <w:color w:val="000000"/>
          <w:sz w:val="24"/>
          <w:highlight w:val="none"/>
        </w:rPr>
      </w:r>
      <w:r/>
    </w:p>
    <w:p>
      <w:pPr>
        <w:pStyle w:val="1007"/>
        <w:jc w:val="left"/>
        <w:spacing w:before="0" w:line="360" w:lineRule="auto"/>
        <w:widowControl/>
        <w:rPr>
          <w:rFonts w:ascii="Times New Roman" w:hAnsi="Times New Roman" w:eastAsia="宋体"/>
          <w:color w:val="000000"/>
          <w:sz w:val="24"/>
          <w:szCs w:val="24"/>
          <w:highlight w:val="none"/>
        </w:rPr>
      </w:pPr>
      <w:r/>
      <w:bookmarkStart w:id="19" w:name="_Toc28359082"/>
      <w:r/>
      <w:bookmarkStart w:id="20" w:name="_Toc28359005"/>
      <w:r/>
      <w:bookmarkStart w:id="21" w:name="_Toc35393624"/>
      <w:r/>
      <w:bookmarkStart w:id="22" w:name="_Toc35393793"/>
      <w:r>
        <w:rPr>
          <w:rFonts w:ascii="Times New Roman" w:hAnsi="Times New Roman" w:eastAsia="宋体"/>
          <w:color w:val="000000"/>
          <w:sz w:val="24"/>
          <w:szCs w:val="24"/>
          <w:highlight w:val="none"/>
        </w:rPr>
        <w:t xml:space="preserve">四、提交投标文件</w:t>
      </w:r>
      <w:bookmarkEnd w:id="19"/>
      <w:r/>
      <w:bookmarkEnd w:id="20"/>
      <w:r>
        <w:rPr>
          <w:rFonts w:ascii="Times New Roman" w:hAnsi="Times New Roman" w:eastAsia="宋体"/>
          <w:color w:val="000000"/>
          <w:sz w:val="24"/>
          <w:szCs w:val="24"/>
          <w:highlight w:val="none"/>
        </w:rPr>
        <w:t xml:space="preserve">截止时间、开标时间和地点</w:t>
      </w:r>
      <w:bookmarkEnd w:id="21"/>
      <w:r/>
      <w:bookmarkEnd w:id="22"/>
      <w:r>
        <w:rPr>
          <w:rFonts w:ascii="Times New Roman" w:hAnsi="Times New Roman" w:eastAsia="宋体"/>
          <w:color w:val="000000"/>
          <w:sz w:val="24"/>
          <w:szCs w:val="24"/>
          <w:highlight w:val="none"/>
        </w:rPr>
      </w:r>
      <w:r/>
    </w:p>
    <w:p>
      <w:pPr>
        <w:pStyle w:val="1005"/>
        <w:ind w:firstLine="480"/>
        <w:spacing w:line="360" w:lineRule="auto"/>
        <w:rPr>
          <w:rFonts w:ascii="宋体" w:hAnsi="宋体"/>
          <w:bCs/>
          <w:color w:val="000000"/>
          <w:sz w:val="24"/>
          <w:highlight w:val="none"/>
          <w:u w:val="single"/>
        </w:rPr>
      </w:pPr>
      <w:r>
        <w:rPr>
          <w:rFonts w:ascii="宋体" w:hAnsi="宋体"/>
          <w:color w:val="000000"/>
          <w:sz w:val="24"/>
          <w:highlight w:val="none"/>
          <w:lang w:bidi="ar"/>
        </w:rPr>
        <w:t xml:space="preserve">投标截止时间、开标时间：</w:t>
      </w:r>
      <w:r>
        <w:rPr>
          <w:rFonts w:hint="eastAsia" w:ascii="宋体" w:hAnsi="宋体"/>
          <w:color w:val="000000"/>
          <w:sz w:val="24"/>
          <w:highlight w:val="none"/>
          <w:lang w:bidi="ar"/>
        </w:rPr>
        <w:t xml:space="preserve">2025年12月</w:t>
      </w:r>
      <w:r>
        <w:rPr>
          <w:rFonts w:hint="eastAsia" w:ascii="宋体" w:hAnsi="宋体"/>
          <w:color w:val="000000"/>
          <w:sz w:val="24"/>
          <w:highlight w:val="none"/>
          <w:lang w:val="en-US" w:eastAsia="zh-CN" w:bidi="ar"/>
        </w:rPr>
        <w:t xml:space="preserve">23</w:t>
      </w:r>
      <w:r>
        <w:rPr>
          <w:rFonts w:hint="eastAsia" w:ascii="宋体" w:hAnsi="宋体"/>
          <w:color w:val="000000"/>
          <w:sz w:val="24"/>
          <w:highlight w:val="none"/>
          <w:lang w:bidi="ar"/>
        </w:rPr>
        <w:t xml:space="preserve">日</w:t>
      </w:r>
      <w:r>
        <w:rPr>
          <w:rFonts w:hint="eastAsia" w:ascii="宋体" w:hAnsi="宋体"/>
          <w:color w:val="000000"/>
          <w:sz w:val="24"/>
          <w:highlight w:val="none"/>
          <w:lang w:bidi="ar"/>
        </w:rPr>
        <w:t xml:space="preserve">14:00（北京时间）</w:t>
      </w:r>
      <w:r>
        <w:rPr>
          <w:rFonts w:ascii="宋体" w:hAnsi="宋体"/>
          <w:color w:val="000000"/>
          <w:sz w:val="24"/>
          <w:highlight w:val="none"/>
          <w:lang w:bidi="ar"/>
        </w:rPr>
        <w:t xml:space="preserve">。</w:t>
      </w:r>
      <w:r>
        <w:rPr>
          <w:rFonts w:ascii="宋体" w:hAnsi="宋体"/>
          <w:bCs/>
          <w:color w:val="000000"/>
          <w:sz w:val="24"/>
          <w:highlight w:val="none"/>
          <w:u w:val="single"/>
        </w:rPr>
      </w:r>
      <w:r/>
    </w:p>
    <w:p>
      <w:pPr>
        <w:pStyle w:val="1005"/>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rPr>
        <w:t xml:space="preserve">本项目采用不见面交易方式，无需到现场提交，投标人登录政府采购一体化平台</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苏采云</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供应商端，通过系统在线提交电子投标文件</w:t>
      </w:r>
      <w:r>
        <w:rPr>
          <w:color w:val="000000"/>
          <w:sz w:val="24"/>
          <w:highlight w:val="none"/>
          <w:lang w:val="zh-TW" w:bidi="ar"/>
        </w:rPr>
        <w:t xml:space="preserve">。</w:t>
      </w:r>
      <w:r>
        <w:rPr>
          <w:color w:val="000000"/>
          <w:sz w:val="24"/>
          <w:highlight w:val="none"/>
          <w:lang w:val="zh-TW" w:bidi="ar"/>
        </w:rPr>
      </w:r>
      <w:r/>
    </w:p>
    <w:p>
      <w:pPr>
        <w:pStyle w:val="1007"/>
        <w:jc w:val="left"/>
        <w:spacing w:before="0" w:line="360" w:lineRule="auto"/>
        <w:rPr>
          <w:rFonts w:ascii="Times New Roman" w:hAnsi="Times New Roman" w:eastAsia="宋体"/>
          <w:color w:val="000000"/>
          <w:sz w:val="24"/>
          <w:szCs w:val="24"/>
          <w:highlight w:val="none"/>
        </w:rPr>
      </w:pPr>
      <w:r/>
      <w:bookmarkStart w:id="23" w:name="_Toc35393794"/>
      <w:r/>
      <w:bookmarkStart w:id="24" w:name="_Toc28359084"/>
      <w:r/>
      <w:bookmarkStart w:id="25" w:name="_Toc28359007"/>
      <w:r/>
      <w:bookmarkStart w:id="26" w:name="_Toc35393625"/>
      <w:r>
        <w:rPr>
          <w:rFonts w:ascii="Times New Roman" w:hAnsi="Times New Roman" w:eastAsia="宋体"/>
          <w:color w:val="000000"/>
          <w:sz w:val="24"/>
          <w:szCs w:val="24"/>
          <w:highlight w:val="none"/>
        </w:rPr>
        <w:t xml:space="preserve">五、公告期限</w:t>
      </w:r>
      <w:bookmarkEnd w:id="23"/>
      <w:r/>
      <w:bookmarkEnd w:id="24"/>
      <w:r/>
      <w:bookmarkEnd w:id="25"/>
      <w:r/>
      <w:bookmarkEnd w:id="26"/>
      <w:r>
        <w:rPr>
          <w:rFonts w:ascii="Times New Roman" w:hAnsi="Times New Roman" w:eastAsia="宋体"/>
          <w:color w:val="000000"/>
          <w:sz w:val="24"/>
          <w:szCs w:val="24"/>
          <w:highlight w:val="none"/>
        </w:rPr>
      </w:r>
      <w:r/>
    </w:p>
    <w:p>
      <w:pPr>
        <w:pStyle w:val="1005"/>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1007"/>
        <w:jc w:val="left"/>
        <w:spacing w:before="0" w:line="360" w:lineRule="auto"/>
        <w:rPr>
          <w:rFonts w:ascii="Times New Roman" w:hAnsi="Times New Roman" w:eastAsia="宋体"/>
          <w:color w:val="000000"/>
          <w:sz w:val="24"/>
          <w:szCs w:val="24"/>
          <w:highlight w:val="none"/>
        </w:rPr>
      </w:pPr>
      <w:r/>
      <w:bookmarkStart w:id="27" w:name="_Toc35393626"/>
      <w:r/>
      <w:bookmarkStart w:id="28" w:name="_Toc35393795"/>
      <w:r>
        <w:rPr>
          <w:rFonts w:ascii="Times New Roman" w:hAnsi="Times New Roman" w:eastAsia="宋体"/>
          <w:color w:val="000000"/>
          <w:sz w:val="24"/>
          <w:szCs w:val="24"/>
          <w:highlight w:val="none"/>
        </w:rPr>
        <w:t xml:space="preserve">六、其他补充事宜</w:t>
      </w:r>
      <w:bookmarkEnd w:id="27"/>
      <w:r/>
      <w:bookmarkEnd w:id="28"/>
      <w:r>
        <w:rPr>
          <w:rFonts w:ascii="Times New Roman" w:hAnsi="Times New Roman" w:eastAsia="宋体"/>
          <w:color w:val="000000"/>
          <w:sz w:val="24"/>
          <w:szCs w:val="24"/>
          <w:highlight w:val="none"/>
        </w:rPr>
      </w:r>
      <w:r/>
    </w:p>
    <w:p>
      <w:pPr>
        <w:pStyle w:val="1005"/>
        <w:ind w:firstLine="480"/>
        <w:spacing w:line="360" w:lineRule="auto"/>
        <w:rPr>
          <w:rFonts w:hint="eastAsia" w:eastAsia="宋体"/>
          <w:color w:val="000000"/>
          <w:sz w:val="24"/>
          <w:highlight w:val="none"/>
          <w:lang w:eastAsia="zh-CN"/>
        </w:rPr>
      </w:pPr>
      <w:r>
        <w:rPr>
          <w:color w:val="000000"/>
          <w:sz w:val="24"/>
          <w:highlight w:val="none"/>
        </w:rPr>
        <w:t xml:space="preserve">1.本项目需要落实的政府采购政策：</w:t>
      </w:r>
      <w:r>
        <w:rPr>
          <w:rFonts w:hint="eastAsia"/>
          <w:color w:val="000000"/>
          <w:sz w:val="24"/>
          <w:highlight w:val="none"/>
        </w:rPr>
        <w:t xml:space="preserve">中小企业政策</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1005"/>
        <w:ind w:firstLine="480"/>
        <w:jc w:val="left"/>
        <w:spacing w:line="360" w:lineRule="auto"/>
        <w:widowControl/>
        <w:rPr>
          <w:bCs/>
          <w:color w:val="000000"/>
          <w:sz w:val="24"/>
          <w:highlight w:val="none"/>
          <w:lang w:bidi="ar"/>
        </w:rPr>
      </w:pPr>
      <w:r>
        <w:rPr>
          <w:color w:val="000000"/>
          <w:sz w:val="24"/>
          <w:highlight w:val="none"/>
        </w:rPr>
        <w:t xml:space="preserve">2</w:t>
      </w:r>
      <w:r>
        <w:rPr>
          <w:color w:val="000000"/>
          <w:sz w:val="24"/>
          <w:highlight w:val="none"/>
          <w:lang w:bidi="ar"/>
        </w:rPr>
        <w:t xml:space="preserve">.</w:t>
      </w:r>
      <w:r>
        <w:rPr>
          <w:rFonts w:hint="eastAsia"/>
          <w:bCs/>
          <w:color w:val="000000"/>
          <w:sz w:val="24"/>
          <w:highlight w:val="none"/>
          <w:lang w:bidi="ar"/>
        </w:rPr>
        <w:t xml:space="preserve">本项目采用全流程电子化采购方式，请供应商认真学习政府采购一体化平台</w:t>
      </w:r>
      <w:r>
        <w:rPr>
          <w:rFonts w:hint="eastAsia"/>
          <w:bCs/>
          <w:color w:val="000000"/>
          <w:sz w:val="24"/>
          <w:highlight w:val="none"/>
          <w:lang w:eastAsia="zh-CN" w:bidi="ar"/>
        </w:rPr>
        <w:t xml:space="preserve">“</w:t>
      </w:r>
      <w:r>
        <w:rPr>
          <w:rFonts w:hint="eastAsia"/>
          <w:bCs/>
          <w:color w:val="000000"/>
          <w:sz w:val="24"/>
          <w:highlight w:val="none"/>
          <w:lang w:bidi="ar"/>
        </w:rPr>
        <w:t xml:space="preserve">苏采云</w:t>
      </w:r>
      <w:r>
        <w:rPr>
          <w:rFonts w:hint="eastAsia"/>
          <w:bCs/>
          <w:color w:val="000000"/>
          <w:sz w:val="24"/>
          <w:highlight w:val="none"/>
          <w:lang w:eastAsia="zh-CN" w:bidi="ar"/>
        </w:rPr>
        <w:t xml:space="preserve">”</w:t>
      </w:r>
      <w:r>
        <w:rPr>
          <w:rFonts w:hint="eastAsia"/>
          <w:bCs/>
          <w:color w:val="000000"/>
          <w:sz w:val="24"/>
          <w:highlight w:val="none"/>
          <w:lang w:bidi="ar"/>
        </w:rPr>
        <w:t xml:space="preserve">发布的相关操作手册，办理CA认证证书、进行政府采购一体化平台</w:t>
      </w:r>
      <w:r>
        <w:rPr>
          <w:rFonts w:hint="eastAsia"/>
          <w:bCs/>
          <w:color w:val="000000"/>
          <w:sz w:val="24"/>
          <w:highlight w:val="none"/>
          <w:lang w:eastAsia="zh-CN" w:bidi="ar"/>
        </w:rPr>
        <w:t xml:space="preserve">“</w:t>
      </w:r>
      <w:r>
        <w:rPr>
          <w:rFonts w:hint="eastAsia"/>
          <w:bCs/>
          <w:color w:val="000000"/>
          <w:sz w:val="24"/>
          <w:highlight w:val="none"/>
          <w:lang w:bidi="ar"/>
        </w:rPr>
        <w:t xml:space="preserve">苏采云</w:t>
      </w:r>
      <w:r>
        <w:rPr>
          <w:rFonts w:hint="eastAsia"/>
          <w:bCs/>
          <w:color w:val="000000"/>
          <w:sz w:val="24"/>
          <w:highlight w:val="none"/>
          <w:lang w:eastAsia="zh-CN" w:bidi="ar"/>
        </w:rPr>
        <w:t xml:space="preserve">”</w:t>
      </w:r>
      <w:r>
        <w:rPr>
          <w:rFonts w:hint="eastAsia"/>
          <w:bCs/>
          <w:color w:val="000000"/>
          <w:sz w:val="24"/>
          <w:highlight w:val="none"/>
          <w:lang w:bidi="ar"/>
        </w:rPr>
        <w:t xml:space="preserve">注册绑定，并认真核实数字认证证书情况确认是否符合本项目电子化采购流程要求</w:t>
      </w:r>
      <w:r>
        <w:rPr>
          <w:bCs/>
          <w:color w:val="000000"/>
          <w:sz w:val="24"/>
          <w:highlight w:val="none"/>
          <w:lang w:bidi="ar"/>
        </w:rPr>
        <w:t xml:space="preserve">。</w:t>
      </w:r>
      <w:r>
        <w:rPr>
          <w:bCs/>
          <w:color w:val="000000"/>
          <w:sz w:val="24"/>
          <w:highlight w:val="none"/>
          <w:lang w:bidi="ar"/>
        </w:rPr>
      </w:r>
      <w:r/>
    </w:p>
    <w:p>
      <w:pPr>
        <w:pStyle w:val="1005"/>
        <w:ind w:firstLine="480"/>
        <w:spacing w:line="360" w:lineRule="auto"/>
        <w:rPr>
          <w:color w:val="000000"/>
          <w:sz w:val="24"/>
          <w:highlight w:val="none"/>
        </w:rPr>
      </w:pPr>
      <w:r>
        <w:rPr>
          <w:color w:val="000000"/>
          <w:sz w:val="24"/>
          <w:highlight w:val="none"/>
          <w:lang w:bidi="ar"/>
        </w:rPr>
        <w:t xml:space="preserve">技术支持服务热线    </w:t>
      </w:r>
      <w:r>
        <w:rPr>
          <w:rFonts w:hint="eastAsia"/>
          <w:color w:val="000000"/>
          <w:sz w:val="24"/>
          <w:highlight w:val="none"/>
          <w:lang w:bidi="ar"/>
        </w:rPr>
        <w:t xml:space="preserve">0519-85588210</w:t>
      </w:r>
      <w:r>
        <w:rPr>
          <w:color w:val="000000"/>
          <w:sz w:val="24"/>
          <w:highlight w:val="none"/>
        </w:rPr>
      </w:r>
      <w:r/>
    </w:p>
    <w:p>
      <w:pPr>
        <w:pStyle w:val="1005"/>
        <w:ind w:firstLine="480"/>
        <w:spacing w:line="360" w:lineRule="auto"/>
        <w:rPr>
          <w:color w:val="000000"/>
          <w:sz w:val="24"/>
          <w:highlight w:val="none"/>
          <w:lang w:bidi="ar"/>
        </w:rPr>
      </w:pPr>
      <w:r>
        <w:rPr>
          <w:color w:val="000000"/>
          <w:sz w:val="24"/>
          <w:highlight w:val="none"/>
          <w:lang w:bidi="ar"/>
        </w:rPr>
        <w:t xml:space="preserve">CA认证证书</w:t>
      </w:r>
      <w:r>
        <w:rPr>
          <w:rFonts w:hint="eastAsia"/>
          <w:color w:val="000000"/>
          <w:sz w:val="24"/>
          <w:highlight w:val="none"/>
          <w:lang w:bidi="ar"/>
        </w:rPr>
        <w:t xml:space="preserve">办理（可邮寄）联系电话：</w:t>
      </w:r>
      <w:r>
        <w:rPr>
          <w:color w:val="000000"/>
          <w:sz w:val="24"/>
          <w:highlight w:val="none"/>
          <w:lang w:bidi="ar"/>
        </w:rPr>
        <w:t xml:space="preserve">0519  85588120</w:t>
      </w:r>
      <w:r>
        <w:rPr>
          <w:color w:val="000000"/>
          <w:sz w:val="24"/>
          <w:highlight w:val="none"/>
          <w:lang w:bidi="ar"/>
        </w:rPr>
      </w:r>
      <w:r/>
    </w:p>
    <w:p>
      <w:pPr>
        <w:pStyle w:val="1005"/>
        <w:ind w:firstLine="480"/>
        <w:jc w:val="left"/>
        <w:spacing w:line="360" w:lineRule="auto"/>
        <w:widowControl/>
        <w:rPr>
          <w:color w:val="000000"/>
          <w:sz w:val="24"/>
          <w:highlight w:val="none"/>
          <w:lang w:bidi="ar"/>
        </w:rPr>
      </w:pPr>
      <w:r>
        <w:rPr>
          <w:color w:val="000000"/>
          <w:sz w:val="24"/>
          <w:highlight w:val="none"/>
          <w:lang w:bidi="ar"/>
        </w:rPr>
        <w:t xml:space="preserve">2.1办理CA认证证书</w:t>
      </w:r>
      <w:r>
        <w:rPr>
          <w:color w:val="000000"/>
          <w:sz w:val="24"/>
          <w:highlight w:val="none"/>
          <w:lang w:bidi="ar"/>
        </w:rPr>
      </w:r>
      <w:r/>
    </w:p>
    <w:p>
      <w:pPr>
        <w:pStyle w:val="1005"/>
        <w:ind w:firstLine="480"/>
        <w:jc w:val="left"/>
        <w:spacing w:line="360" w:lineRule="auto"/>
        <w:widowControl/>
        <w:rPr>
          <w:color w:val="000000"/>
          <w:sz w:val="24"/>
          <w:highlight w:val="none"/>
        </w:rPr>
      </w:pPr>
      <w:r>
        <w:rPr>
          <w:rFonts w:hint="eastAsia"/>
          <w:color w:val="000000"/>
          <w:sz w:val="24"/>
          <w:highlight w:val="none"/>
          <w:lang w:bidi="ar"/>
        </w:rPr>
        <w:t xml:space="preserve">供应商登录政府采购一体化平台</w:t>
      </w:r>
      <w:r>
        <w:rPr>
          <w:rFonts w:hint="eastAsia"/>
          <w:color w:val="000000"/>
          <w:sz w:val="24"/>
          <w:highlight w:val="none"/>
          <w:lang w:eastAsia="zh-CN" w:bidi="ar"/>
        </w:rPr>
        <w:t xml:space="preserve">“</w:t>
      </w:r>
      <w:r>
        <w:rPr>
          <w:rFonts w:hint="eastAsia"/>
          <w:color w:val="000000"/>
          <w:sz w:val="24"/>
          <w:highlight w:val="none"/>
          <w:lang w:bidi="ar"/>
        </w:rPr>
        <w:t xml:space="preserve">苏采云</w:t>
      </w:r>
      <w:r>
        <w:rPr>
          <w:rFonts w:hint="eastAsia"/>
          <w:color w:val="000000"/>
          <w:sz w:val="24"/>
          <w:highlight w:val="none"/>
          <w:lang w:eastAsia="zh-CN" w:bidi="ar"/>
        </w:rPr>
        <w:t xml:space="preserve">”“</w:t>
      </w:r>
      <w:r>
        <w:rPr>
          <w:rFonts w:hint="eastAsia"/>
          <w:color w:val="000000"/>
          <w:sz w:val="24"/>
          <w:highlight w:val="none"/>
          <w:lang w:bidi="ar"/>
        </w:rPr>
        <w:t xml:space="preserve">新CA办理指南</w:t>
      </w:r>
      <w:r>
        <w:rPr>
          <w:rFonts w:hint="eastAsia"/>
          <w:color w:val="000000"/>
          <w:sz w:val="24"/>
          <w:highlight w:val="none"/>
          <w:lang w:eastAsia="zh-CN" w:bidi="ar"/>
        </w:rPr>
        <w:t xml:space="preserve">”</w:t>
      </w:r>
      <w:r>
        <w:rPr>
          <w:color w:val="000000"/>
          <w:sz w:val="24"/>
          <w:highlight w:val="none"/>
          <w:lang w:bidi="ar"/>
        </w:rPr>
        <w:t xml:space="preserve">，按照程序要求办理。</w:t>
      </w:r>
      <w:r>
        <w:rPr>
          <w:color w:val="000000"/>
          <w:sz w:val="24"/>
          <w:highlight w:val="none"/>
        </w:rPr>
      </w:r>
      <w:r/>
    </w:p>
    <w:p>
      <w:pPr>
        <w:pStyle w:val="1005"/>
        <w:ind w:firstLine="480"/>
        <w:spacing w:line="360" w:lineRule="auto"/>
        <w:rPr>
          <w:color w:val="000000"/>
          <w:sz w:val="24"/>
          <w:highlight w:val="none"/>
          <w:lang w:bidi="ar"/>
        </w:rPr>
      </w:pPr>
      <w:r>
        <w:rPr>
          <w:color w:val="000000"/>
          <w:sz w:val="24"/>
          <w:highlight w:val="none"/>
          <w:lang w:bidi="ar"/>
        </w:rPr>
        <w:t xml:space="preserve">2.2注册</w:t>
      </w:r>
      <w:r>
        <w:rPr>
          <w:color w:val="000000"/>
          <w:sz w:val="24"/>
          <w:highlight w:val="none"/>
          <w:lang w:bidi="ar"/>
        </w:rPr>
      </w:r>
      <w:r/>
    </w:p>
    <w:p>
      <w:pPr>
        <w:pStyle w:val="1005"/>
        <w:ind w:firstLine="480"/>
        <w:spacing w:line="360" w:lineRule="auto"/>
        <w:rPr>
          <w:color w:val="000000"/>
          <w:sz w:val="24"/>
          <w:highlight w:val="none"/>
        </w:rPr>
      </w:pPr>
      <w:r>
        <w:rPr>
          <w:rFonts w:hint="eastAsia"/>
          <w:color w:val="000000"/>
          <w:sz w:val="24"/>
          <w:highlight w:val="none"/>
        </w:rPr>
        <w:t xml:space="preserve">供应商登录政府采购一体化平台</w:t>
      </w:r>
      <w:r>
        <w:rPr>
          <w:rFonts w:hint="eastAsia"/>
          <w:color w:val="000000"/>
          <w:sz w:val="24"/>
          <w:highlight w:val="none"/>
          <w:lang w:eastAsia="zh-CN"/>
        </w:rPr>
        <w:t xml:space="preserve">“</w:t>
      </w:r>
      <w:r>
        <w:rPr>
          <w:rFonts w:hint="eastAsia"/>
          <w:color w:val="000000"/>
          <w:sz w:val="24"/>
          <w:highlight w:val="none"/>
        </w:rPr>
        <w:t xml:space="preserve">苏采云</w:t>
      </w:r>
      <w:r>
        <w:rPr>
          <w:rFonts w:hint="eastAsia"/>
          <w:color w:val="000000"/>
          <w:sz w:val="24"/>
          <w:highlight w:val="none"/>
          <w:lang w:eastAsia="zh-CN"/>
        </w:rPr>
        <w:t xml:space="preserve">”</w:t>
      </w:r>
      <w:r>
        <w:rPr>
          <w:rFonts w:hint="eastAsia"/>
          <w:color w:val="000000"/>
          <w:sz w:val="24"/>
          <w:highlight w:val="none"/>
        </w:rPr>
        <w:t xml:space="preserve">下载</w:t>
      </w:r>
      <w:r>
        <w:rPr>
          <w:rFonts w:hint="eastAsia"/>
          <w:color w:val="000000"/>
          <w:sz w:val="24"/>
          <w:highlight w:val="none"/>
          <w:lang w:eastAsia="zh-CN"/>
        </w:rPr>
        <w:t xml:space="preserve">“</w:t>
      </w:r>
      <w:r>
        <w:rPr>
          <w:rFonts w:hint="eastAsia"/>
          <w:color w:val="000000"/>
          <w:sz w:val="24"/>
          <w:highlight w:val="none"/>
        </w:rPr>
        <w:t xml:space="preserve">用户注册</w:t>
      </w:r>
      <w:r>
        <w:rPr>
          <w:rFonts w:hint="eastAsia"/>
          <w:color w:val="000000"/>
          <w:sz w:val="24"/>
          <w:highlight w:val="none"/>
          <w:lang w:eastAsia="zh-CN"/>
        </w:rPr>
        <w:t xml:space="preserve">”</w:t>
      </w:r>
      <w:r>
        <w:rPr>
          <w:rFonts w:hint="eastAsia"/>
          <w:color w:val="000000"/>
          <w:sz w:val="24"/>
          <w:highlight w:val="none"/>
        </w:rPr>
        <w:t xml:space="preserve">查阅后进行自助注册</w:t>
      </w:r>
      <w:r>
        <w:rPr>
          <w:color w:val="000000"/>
          <w:sz w:val="24"/>
          <w:highlight w:val="none"/>
          <w:lang w:bidi="ar"/>
        </w:rPr>
        <w:t xml:space="preserve">。</w:t>
      </w:r>
      <w:r>
        <w:rPr>
          <w:color w:val="000000"/>
          <w:sz w:val="24"/>
          <w:highlight w:val="none"/>
        </w:rPr>
      </w:r>
      <w:r/>
    </w:p>
    <w:p>
      <w:pPr>
        <w:pStyle w:val="1005"/>
        <w:ind w:firstLine="480"/>
        <w:jc w:val="left"/>
        <w:spacing w:line="360" w:lineRule="auto"/>
        <w:widowControl/>
        <w:rPr>
          <w:color w:val="000000"/>
          <w:sz w:val="24"/>
          <w:highlight w:val="none"/>
          <w:lang w:bidi="ar"/>
        </w:rPr>
      </w:pPr>
      <w:r>
        <w:rPr>
          <w:color w:val="000000"/>
          <w:sz w:val="24"/>
          <w:highlight w:val="none"/>
          <w:lang w:bidi="ar"/>
        </w:rPr>
        <w:t xml:space="preserve">2.3</w:t>
      </w:r>
      <w:r>
        <w:rPr>
          <w:rFonts w:hint="eastAsia"/>
          <w:color w:val="000000"/>
          <w:sz w:val="24"/>
          <w:highlight w:val="none"/>
          <w:lang w:bidi="ar"/>
        </w:rPr>
        <w:t xml:space="preserve">控件</w:t>
      </w:r>
      <w:r>
        <w:rPr>
          <w:color w:val="000000"/>
          <w:sz w:val="24"/>
          <w:highlight w:val="none"/>
          <w:lang w:bidi="ar"/>
        </w:rPr>
        <w:t xml:space="preserve">、客户端下载</w:t>
      </w:r>
      <w:r>
        <w:rPr>
          <w:color w:val="000000"/>
          <w:sz w:val="24"/>
          <w:highlight w:val="none"/>
          <w:lang w:bidi="ar"/>
        </w:rPr>
      </w:r>
      <w:r/>
    </w:p>
    <w:p>
      <w:pPr>
        <w:pStyle w:val="1005"/>
        <w:ind w:firstLine="480"/>
        <w:jc w:val="left"/>
        <w:spacing w:line="360" w:lineRule="auto"/>
        <w:widowControl/>
        <w:rPr>
          <w:color w:val="000000"/>
          <w:sz w:val="24"/>
          <w:highlight w:val="none"/>
        </w:rPr>
      </w:pPr>
      <w:r>
        <w:rPr>
          <w:rFonts w:hint="eastAsia"/>
          <w:color w:val="000000"/>
          <w:sz w:val="24"/>
          <w:highlight w:val="none"/>
        </w:rPr>
        <w:t xml:space="preserve">供应商登录政府采购一体化平台</w:t>
      </w:r>
      <w:r>
        <w:rPr>
          <w:rFonts w:hint="eastAsia"/>
          <w:color w:val="000000"/>
          <w:sz w:val="24"/>
          <w:highlight w:val="none"/>
          <w:lang w:eastAsia="zh-CN"/>
        </w:rPr>
        <w:t xml:space="preserve">“</w:t>
      </w:r>
      <w:r>
        <w:rPr>
          <w:rFonts w:hint="eastAsia"/>
          <w:color w:val="000000"/>
          <w:sz w:val="24"/>
          <w:highlight w:val="none"/>
        </w:rPr>
        <w:t xml:space="preserve">苏采云</w:t>
      </w:r>
      <w:r>
        <w:rPr>
          <w:rFonts w:hint="eastAsia"/>
          <w:color w:val="000000"/>
          <w:sz w:val="24"/>
          <w:highlight w:val="none"/>
          <w:lang w:eastAsia="zh-CN"/>
        </w:rPr>
        <w:t xml:space="preserve">”</w:t>
      </w:r>
      <w:r>
        <w:rPr>
          <w:rFonts w:hint="eastAsia"/>
          <w:color w:val="000000"/>
          <w:sz w:val="24"/>
          <w:highlight w:val="none"/>
        </w:rPr>
        <w:t xml:space="preserve">下载</w:t>
      </w:r>
      <w:r>
        <w:rPr>
          <w:rFonts w:hint="eastAsia"/>
          <w:color w:val="000000"/>
          <w:sz w:val="24"/>
          <w:highlight w:val="none"/>
          <w:lang w:eastAsia="zh-CN"/>
        </w:rPr>
        <w:t xml:space="preserve">“</w:t>
      </w:r>
      <w:r>
        <w:rPr>
          <w:rFonts w:hint="eastAsia"/>
          <w:color w:val="000000"/>
          <w:sz w:val="24"/>
          <w:highlight w:val="none"/>
        </w:rPr>
        <w:t xml:space="preserve">驱动下载</w:t>
      </w:r>
      <w:r>
        <w:rPr>
          <w:rFonts w:hint="eastAsia"/>
          <w:color w:val="000000"/>
          <w:sz w:val="24"/>
          <w:highlight w:val="none"/>
          <w:lang w:eastAsia="zh-CN"/>
        </w:rPr>
        <w:t xml:space="preserve">”</w:t>
      </w:r>
      <w:r>
        <w:rPr>
          <w:rFonts w:hint="eastAsia"/>
          <w:color w:val="000000"/>
          <w:sz w:val="24"/>
          <w:highlight w:val="none"/>
        </w:rPr>
        <w:t xml:space="preserve">，安装驱动</w:t>
      </w:r>
      <w:r>
        <w:rPr>
          <w:color w:val="000000"/>
          <w:sz w:val="24"/>
          <w:highlight w:val="none"/>
          <w:lang w:bidi="ar"/>
        </w:rPr>
        <w:t xml:space="preserve">。</w:t>
      </w:r>
      <w:r>
        <w:rPr>
          <w:color w:val="000000"/>
          <w:sz w:val="24"/>
          <w:highlight w:val="none"/>
        </w:rPr>
      </w:r>
      <w:r/>
    </w:p>
    <w:p>
      <w:pPr>
        <w:pStyle w:val="1005"/>
        <w:ind w:firstLine="480"/>
        <w:spacing w:line="360" w:lineRule="auto"/>
        <w:rPr>
          <w:color w:val="000000"/>
          <w:sz w:val="24"/>
          <w:highlight w:val="none"/>
          <w:lang w:bidi="ar"/>
        </w:rPr>
      </w:pPr>
      <w:r>
        <w:rPr>
          <w:color w:val="000000"/>
          <w:sz w:val="24"/>
          <w:highlight w:val="none"/>
          <w:lang w:bidi="ar"/>
        </w:rPr>
        <w:t xml:space="preserve">2.4获取电子招标文件</w:t>
      </w:r>
      <w:r>
        <w:rPr>
          <w:color w:val="000000"/>
          <w:sz w:val="24"/>
          <w:highlight w:val="none"/>
          <w:lang w:bidi="ar"/>
        </w:rPr>
      </w:r>
      <w:r/>
    </w:p>
    <w:p>
      <w:pPr>
        <w:pStyle w:val="1005"/>
        <w:ind w:firstLine="480"/>
        <w:spacing w:line="360" w:lineRule="auto"/>
        <w:rPr>
          <w:color w:val="000000"/>
          <w:sz w:val="24"/>
          <w:highlight w:val="none"/>
          <w:lang w:bidi="ar"/>
        </w:rPr>
      </w:pPr>
      <w:r>
        <w:rPr>
          <w:color w:val="000000"/>
          <w:sz w:val="24"/>
          <w:highlight w:val="none"/>
          <w:lang w:bidi="ar"/>
        </w:rPr>
        <w:t xml:space="preserve">供应商持CA数字认证证书登录</w:t>
      </w:r>
      <w:r>
        <w:rPr>
          <w:rFonts w:hint="eastAsia"/>
          <w:color w:val="000000"/>
          <w:sz w:val="24"/>
          <w:highlight w:val="none"/>
          <w:lang w:bidi="ar"/>
        </w:rPr>
        <w:t xml:space="preserve">政府采购一体化平台</w:t>
      </w:r>
      <w:r>
        <w:rPr>
          <w:rFonts w:hint="eastAsia"/>
          <w:color w:val="000000"/>
          <w:sz w:val="24"/>
          <w:highlight w:val="none"/>
          <w:lang w:eastAsia="zh-CN" w:bidi="ar"/>
        </w:rPr>
        <w:t xml:space="preserve">“</w:t>
      </w:r>
      <w:r>
        <w:rPr>
          <w:rFonts w:hint="eastAsia"/>
          <w:color w:val="000000"/>
          <w:sz w:val="24"/>
          <w:highlight w:val="none"/>
          <w:lang w:bidi="ar"/>
        </w:rPr>
        <w:t xml:space="preserve">苏采云</w:t>
      </w:r>
      <w:r>
        <w:rPr>
          <w:rFonts w:hint="eastAsia"/>
          <w:color w:val="000000"/>
          <w:sz w:val="24"/>
          <w:highlight w:val="none"/>
          <w:lang w:eastAsia="zh-CN" w:bidi="ar"/>
        </w:rPr>
        <w:t xml:space="preserve">”</w:t>
      </w:r>
      <w:r>
        <w:rPr>
          <w:color w:val="000000"/>
          <w:sz w:val="24"/>
          <w:highlight w:val="none"/>
          <w:lang w:bidi="ar"/>
        </w:rPr>
        <w:t xml:space="preserve">获取电子招标文件。未在规定期限内通过</w:t>
      </w:r>
      <w:r>
        <w:rPr>
          <w:rFonts w:hint="eastAsia"/>
          <w:color w:val="000000"/>
          <w:sz w:val="24"/>
          <w:highlight w:val="none"/>
          <w:lang w:bidi="ar"/>
        </w:rPr>
        <w:t xml:space="preserve">政府采购一体化平台</w:t>
      </w:r>
      <w:r>
        <w:rPr>
          <w:rFonts w:hint="eastAsia"/>
          <w:color w:val="000000"/>
          <w:sz w:val="24"/>
          <w:highlight w:val="none"/>
          <w:lang w:eastAsia="zh-CN" w:bidi="ar"/>
        </w:rPr>
        <w:t xml:space="preserve">“</w:t>
      </w:r>
      <w:r>
        <w:rPr>
          <w:rFonts w:hint="eastAsia"/>
          <w:color w:val="000000"/>
          <w:sz w:val="24"/>
          <w:highlight w:val="none"/>
          <w:lang w:bidi="ar"/>
        </w:rPr>
        <w:t xml:space="preserve">苏采云</w:t>
      </w:r>
      <w:r>
        <w:rPr>
          <w:rFonts w:hint="eastAsia"/>
          <w:color w:val="000000"/>
          <w:sz w:val="24"/>
          <w:highlight w:val="none"/>
          <w:lang w:eastAsia="zh-CN" w:bidi="ar"/>
        </w:rPr>
        <w:t xml:space="preserve">”</w:t>
      </w:r>
      <w:r>
        <w:rPr>
          <w:color w:val="000000"/>
          <w:sz w:val="24"/>
          <w:highlight w:val="none"/>
          <w:lang w:bidi="ar"/>
        </w:rPr>
        <w:t xml:space="preserve">获取招标文件的</w:t>
      </w:r>
      <w:r>
        <w:rPr>
          <w:b/>
          <w:color w:val="000000"/>
          <w:sz w:val="24"/>
          <w:highlight w:val="none"/>
          <w:lang w:bidi="ar"/>
        </w:rPr>
        <w:t xml:space="preserve">投标无效</w:t>
      </w:r>
      <w:r>
        <w:rPr>
          <w:color w:val="000000"/>
          <w:sz w:val="24"/>
          <w:highlight w:val="none"/>
          <w:lang w:bidi="ar"/>
        </w:rPr>
        <w:t xml:space="preserve">。</w:t>
      </w:r>
      <w:r>
        <w:rPr>
          <w:color w:val="000000"/>
          <w:sz w:val="24"/>
          <w:highlight w:val="none"/>
          <w:lang w:bidi="ar"/>
        </w:rPr>
      </w:r>
      <w:r/>
    </w:p>
    <w:p>
      <w:pPr>
        <w:pStyle w:val="1005"/>
        <w:ind w:firstLine="480"/>
        <w:spacing w:line="360" w:lineRule="auto"/>
        <w:rPr>
          <w:color w:val="000000"/>
          <w:sz w:val="24"/>
          <w:highlight w:val="none"/>
          <w:lang w:bidi="ar"/>
        </w:rPr>
      </w:pPr>
      <w:r>
        <w:rPr>
          <w:color w:val="000000"/>
          <w:sz w:val="24"/>
          <w:highlight w:val="none"/>
          <w:lang w:bidi="ar"/>
        </w:rPr>
        <w:t xml:space="preserve">2.5编制电子投标文件</w:t>
      </w:r>
      <w:r>
        <w:rPr>
          <w:color w:val="000000"/>
          <w:sz w:val="24"/>
          <w:highlight w:val="none"/>
          <w:lang w:bidi="ar"/>
        </w:rPr>
      </w:r>
      <w:r/>
    </w:p>
    <w:p>
      <w:pPr>
        <w:pStyle w:val="1005"/>
        <w:ind w:firstLine="480"/>
        <w:spacing w:line="360" w:lineRule="auto"/>
        <w:rPr>
          <w:color w:val="000000"/>
          <w:sz w:val="24"/>
          <w:highlight w:val="none"/>
          <w:lang w:bidi="ar"/>
        </w:rPr>
      </w:pPr>
      <w:r>
        <w:rPr>
          <w:color w:val="000000"/>
          <w:sz w:val="24"/>
          <w:highlight w:val="none"/>
          <w:lang w:bidi="ar"/>
        </w:rPr>
        <w:t xml:space="preserve">供应商应使用电子投标</w:t>
      </w:r>
      <w:r>
        <w:rPr>
          <w:rFonts w:hint="eastAsia"/>
          <w:color w:val="000000"/>
          <w:sz w:val="24"/>
          <w:highlight w:val="none"/>
          <w:lang w:bidi="ar"/>
        </w:rPr>
        <w:t xml:space="preserve">文件制作</w:t>
      </w:r>
      <w:r>
        <w:rPr>
          <w:color w:val="000000"/>
          <w:sz w:val="24"/>
          <w:highlight w:val="none"/>
          <w:lang w:bidi="ar"/>
        </w:rPr>
        <w:t xml:space="preserve">客户端编制电子投标文件并进行线上投标，供应商电子投标文件需要加密并加盖电子签章</w:t>
      </w:r>
      <w:r>
        <w:rPr>
          <w:bCs/>
          <w:color w:val="000000"/>
          <w:sz w:val="24"/>
          <w:highlight w:val="none"/>
          <w:lang w:bidi="ar"/>
        </w:rPr>
        <w:t xml:space="preserve">，如无法按照要求在电子投标文件中加盖电子签章和加密，请及时通过技术支持服务热线联系技术人员</w:t>
      </w:r>
      <w:r>
        <w:rPr>
          <w:color w:val="000000"/>
          <w:sz w:val="24"/>
          <w:highlight w:val="none"/>
          <w:lang w:bidi="ar"/>
        </w:rPr>
        <w:t xml:space="preserve">。</w:t>
      </w:r>
      <w:r>
        <w:rPr>
          <w:color w:val="000000"/>
          <w:sz w:val="24"/>
          <w:highlight w:val="none"/>
          <w:lang w:bidi="ar"/>
        </w:rPr>
      </w:r>
      <w:r/>
    </w:p>
    <w:p>
      <w:pPr>
        <w:pStyle w:val="1005"/>
        <w:ind w:firstLine="480"/>
        <w:jc w:val="left"/>
        <w:spacing w:line="360" w:lineRule="auto"/>
        <w:widowControl/>
        <w:rPr>
          <w:color w:val="000000"/>
          <w:sz w:val="24"/>
          <w:highlight w:val="none"/>
          <w:lang w:val="zh-TW" w:bidi="ar"/>
        </w:rPr>
      </w:pPr>
      <w:r>
        <w:rPr>
          <w:rFonts w:eastAsia="PMingLiU"/>
          <w:color w:val="000000"/>
          <w:sz w:val="24"/>
          <w:highlight w:val="none"/>
          <w:lang w:val="zh-TW" w:eastAsia="zh-TW" w:bidi="ar"/>
        </w:rPr>
        <w:t xml:space="preserve">2</w:t>
      </w:r>
      <w:r>
        <w:rPr>
          <w:color w:val="000000"/>
          <w:sz w:val="24"/>
          <w:highlight w:val="none"/>
          <w:lang w:val="zh-TW" w:eastAsia="zh-TW" w:bidi="ar"/>
        </w:rPr>
        <w:t xml:space="preserve">.6</w:t>
      </w:r>
      <w:r>
        <w:rPr>
          <w:color w:val="000000"/>
          <w:sz w:val="24"/>
          <w:highlight w:val="none"/>
          <w:lang w:val="zh-TW" w:bidi="ar"/>
        </w:rPr>
        <w:t xml:space="preserve">提交电子投标文件</w:t>
      </w:r>
      <w:r>
        <w:rPr>
          <w:color w:val="000000"/>
          <w:sz w:val="24"/>
          <w:highlight w:val="none"/>
          <w:lang w:val="zh-TW" w:bidi="ar"/>
        </w:rPr>
      </w:r>
      <w:r/>
    </w:p>
    <w:p>
      <w:pPr>
        <w:pStyle w:val="1005"/>
        <w:ind w:firstLine="480"/>
        <w:jc w:val="left"/>
        <w:spacing w:line="360" w:lineRule="auto"/>
        <w:widowControl/>
        <w:rPr>
          <w:color w:val="000000"/>
          <w:sz w:val="24"/>
          <w:highlight w:val="none"/>
          <w:lang w:bidi="ar"/>
        </w:rPr>
      </w:pPr>
      <w:r>
        <w:rPr>
          <w:color w:val="000000"/>
          <w:sz w:val="24"/>
          <w:highlight w:val="none"/>
          <w:lang w:bidi="ar"/>
        </w:rPr>
        <w:t xml:space="preserve">供应商应于投标截止时间前在</w:t>
      </w:r>
      <w:r>
        <w:rPr>
          <w:rFonts w:hint="eastAsia"/>
          <w:color w:val="000000"/>
          <w:sz w:val="24"/>
          <w:highlight w:val="none"/>
          <w:lang w:bidi="ar"/>
        </w:rPr>
        <w:t xml:space="preserve">政府采购一体化平台</w:t>
      </w:r>
      <w:r>
        <w:rPr>
          <w:rFonts w:hint="eastAsia"/>
          <w:color w:val="000000"/>
          <w:sz w:val="24"/>
          <w:highlight w:val="none"/>
          <w:lang w:eastAsia="zh-CN" w:bidi="ar"/>
        </w:rPr>
        <w:t xml:space="preserve">“</w:t>
      </w:r>
      <w:r>
        <w:rPr>
          <w:rFonts w:hint="eastAsia"/>
          <w:color w:val="000000"/>
          <w:sz w:val="24"/>
          <w:highlight w:val="none"/>
          <w:lang w:bidi="ar"/>
        </w:rPr>
        <w:t xml:space="preserve">苏采云</w:t>
      </w:r>
      <w:r>
        <w:rPr>
          <w:rFonts w:hint="eastAsia"/>
          <w:color w:val="000000"/>
          <w:sz w:val="24"/>
          <w:highlight w:val="none"/>
          <w:lang w:eastAsia="zh-CN" w:bidi="ar"/>
        </w:rPr>
        <w:t xml:space="preserve">”</w:t>
      </w:r>
      <w:r>
        <w:rPr>
          <w:color w:val="000000"/>
          <w:sz w:val="24"/>
          <w:highlight w:val="none"/>
          <w:lang w:bidi="ar"/>
        </w:rPr>
        <w:t xml:space="preserve">提交电子投标文件，上传电子投标文件过程中请保持与互联网的连接畅通。</w:t>
      </w:r>
      <w:r>
        <w:rPr>
          <w:color w:val="000000"/>
          <w:sz w:val="24"/>
          <w:highlight w:val="none"/>
          <w:lang w:bidi="ar"/>
        </w:rPr>
      </w:r>
      <w:r/>
    </w:p>
    <w:p>
      <w:pPr>
        <w:pStyle w:val="1005"/>
        <w:ind w:firstLine="480"/>
        <w:jc w:val="left"/>
        <w:spacing w:line="360" w:lineRule="auto"/>
        <w:widowControl/>
        <w:rPr>
          <w:color w:val="000000"/>
          <w:sz w:val="24"/>
          <w:highlight w:val="none"/>
          <w:lang w:eastAsia="zh-TW" w:bidi="ar"/>
        </w:rPr>
      </w:pPr>
      <w:r>
        <w:rPr>
          <w:rFonts w:eastAsia="PMingLiU"/>
          <w:color w:val="000000"/>
          <w:sz w:val="24"/>
          <w:highlight w:val="none"/>
          <w:lang w:val="zh-TW" w:eastAsia="zh-TW" w:bidi="ar"/>
        </w:rPr>
        <w:t xml:space="preserve">2</w:t>
      </w:r>
      <w:r>
        <w:rPr>
          <w:color w:val="000000"/>
          <w:sz w:val="24"/>
          <w:highlight w:val="none"/>
          <w:lang w:val="zh-TW" w:bidi="ar"/>
        </w:rPr>
        <w:t xml:space="preserve">.</w:t>
      </w:r>
      <w:r>
        <w:rPr>
          <w:color w:val="000000"/>
          <w:sz w:val="24"/>
          <w:highlight w:val="none"/>
          <w:lang w:val="zh-TW" w:eastAsia="zh-TW" w:bidi="ar"/>
        </w:rPr>
        <w:t xml:space="preserve">7</w:t>
      </w:r>
      <w:r>
        <w:rPr>
          <w:color w:val="000000"/>
          <w:sz w:val="24"/>
          <w:highlight w:val="none"/>
          <w:lang w:val="zh-TW" w:bidi="ar"/>
        </w:rPr>
        <w:t xml:space="preserve">电子开标</w:t>
      </w:r>
      <w:r>
        <w:rPr>
          <w:color w:val="000000"/>
          <w:sz w:val="24"/>
          <w:highlight w:val="none"/>
          <w:lang w:eastAsia="zh-TW" w:bidi="ar"/>
        </w:rPr>
      </w:r>
      <w:r/>
    </w:p>
    <w:p>
      <w:pPr>
        <w:pStyle w:val="1005"/>
        <w:ind w:firstLine="480"/>
        <w:spacing w:line="360" w:lineRule="auto"/>
        <w:rPr>
          <w:rFonts w:hint="eastAsia"/>
          <w:color w:val="000000"/>
          <w:sz w:val="24"/>
          <w:highlight w:val="none"/>
          <w:lang w:val="zh-TW" w:bidi="ar"/>
        </w:rPr>
      </w:pPr>
      <w:r>
        <w:rPr>
          <w:color w:val="000000"/>
          <w:sz w:val="24"/>
          <w:highlight w:val="none"/>
          <w:lang w:val="zh-TW" w:bidi="ar"/>
        </w:rPr>
        <w:t xml:space="preserve">供应商使用</w:t>
      </w:r>
      <w:r>
        <w:rPr>
          <w:color w:val="000000"/>
          <w:sz w:val="24"/>
          <w:highlight w:val="none"/>
          <w:lang w:bidi="ar"/>
        </w:rPr>
        <w:t xml:space="preserve">CA认证证书</w:t>
      </w:r>
      <w:r>
        <w:rPr>
          <w:color w:val="000000"/>
          <w:sz w:val="24"/>
          <w:highlight w:val="none"/>
          <w:lang w:val="zh-TW" w:bidi="ar"/>
        </w:rPr>
        <w:t xml:space="preserve">登录</w:t>
      </w:r>
      <w:r>
        <w:rPr>
          <w:rFonts w:hint="eastAsia"/>
          <w:color w:val="000000"/>
          <w:sz w:val="24"/>
          <w:highlight w:val="none"/>
          <w:lang w:bidi="ar"/>
        </w:rPr>
        <w:t xml:space="preserve">政府采购一体化平台</w:t>
      </w:r>
      <w:r>
        <w:rPr>
          <w:rFonts w:hint="eastAsia"/>
          <w:color w:val="000000"/>
          <w:sz w:val="24"/>
          <w:highlight w:val="none"/>
          <w:lang w:eastAsia="zh-CN" w:bidi="ar"/>
        </w:rPr>
        <w:t xml:space="preserve">“</w:t>
      </w:r>
      <w:r>
        <w:rPr>
          <w:rFonts w:hint="eastAsia"/>
          <w:color w:val="000000"/>
          <w:sz w:val="24"/>
          <w:highlight w:val="none"/>
          <w:lang w:bidi="ar"/>
        </w:rPr>
        <w:t xml:space="preserve">苏采云</w:t>
      </w:r>
      <w:r>
        <w:rPr>
          <w:rFonts w:hint="eastAsia"/>
          <w:color w:val="000000"/>
          <w:sz w:val="24"/>
          <w:highlight w:val="none"/>
          <w:lang w:eastAsia="zh-CN" w:bidi="ar"/>
        </w:rPr>
        <w:t xml:space="preserve">”</w:t>
      </w:r>
      <w:r>
        <w:rPr>
          <w:color w:val="000000"/>
          <w:sz w:val="24"/>
          <w:highlight w:val="none"/>
          <w:lang w:bidi="ar"/>
        </w:rPr>
        <w:t xml:space="preserve">进行电子</w:t>
      </w:r>
      <w:r>
        <w:rPr>
          <w:rFonts w:hint="eastAsia"/>
          <w:color w:val="000000"/>
          <w:sz w:val="24"/>
          <w:highlight w:val="none"/>
          <w:lang w:bidi="ar"/>
        </w:rPr>
        <w:t xml:space="preserve">化不见面</w:t>
      </w:r>
      <w:r>
        <w:rPr>
          <w:color w:val="000000"/>
          <w:sz w:val="24"/>
          <w:highlight w:val="none"/>
          <w:lang w:bidi="ar"/>
        </w:rPr>
        <w:t xml:space="preserve">开标</w:t>
      </w:r>
      <w:r>
        <w:rPr>
          <w:color w:val="000000"/>
          <w:sz w:val="24"/>
          <w:highlight w:val="none"/>
          <w:lang w:val="zh-TW" w:bidi="ar"/>
        </w:rPr>
        <w:t xml:space="preserve">。</w:t>
      </w:r>
      <w:r>
        <w:rPr>
          <w:rFonts w:hint="eastAsia"/>
          <w:color w:val="000000"/>
          <w:sz w:val="24"/>
          <w:highlight w:val="none"/>
          <w:lang w:val="zh-TW" w:bidi="ar"/>
        </w:rPr>
      </w:r>
      <w:r/>
    </w:p>
    <w:p>
      <w:pPr>
        <w:pStyle w:val="1005"/>
        <w:ind w:firstLine="480"/>
        <w:spacing w:line="360" w:lineRule="auto"/>
        <w:rPr>
          <w:rFonts w:hint="eastAsia"/>
          <w:color w:val="000000"/>
          <w:sz w:val="24"/>
          <w:highlight w:val="none"/>
          <w:lang w:val="zh-TW" w:bidi="ar"/>
        </w:rPr>
      </w:pPr>
      <w:r>
        <w:rPr>
          <w:rFonts w:eastAsia="PMingLiU"/>
          <w:color w:val="000000"/>
          <w:sz w:val="24"/>
          <w:highlight w:val="none"/>
          <w:lang w:val="zh-TW" w:eastAsia="zh-TW" w:bidi="ar"/>
        </w:rPr>
        <w:t xml:space="preserve">2</w:t>
      </w:r>
      <w:r>
        <w:rPr>
          <w:rFonts w:hint="eastAsia"/>
          <w:color w:val="000000"/>
          <w:sz w:val="24"/>
          <w:highlight w:val="none"/>
          <w:lang w:val="zh-TW" w:bidi="ar"/>
        </w:rPr>
        <w:t xml:space="preserve">.8注意事项</w:t>
      </w:r>
      <w:r>
        <w:rPr>
          <w:rFonts w:hint="eastAsia"/>
          <w:color w:val="000000"/>
          <w:sz w:val="24"/>
          <w:highlight w:val="none"/>
          <w:lang w:val="zh-TW" w:bidi="ar"/>
        </w:rPr>
      </w:r>
      <w:r/>
    </w:p>
    <w:p>
      <w:pPr>
        <w:pStyle w:val="1005"/>
        <w:ind w:firstLine="480"/>
        <w:spacing w:line="360" w:lineRule="auto"/>
        <w:rPr>
          <w:color w:val="000000"/>
          <w:sz w:val="24"/>
          <w:highlight w:val="none"/>
          <w:lang w:eastAsia="zh-TW"/>
        </w:rPr>
      </w:pPr>
      <w:r>
        <w:rPr>
          <w:color w:val="000000"/>
          <w:sz w:val="24"/>
          <w:highlight w:val="none"/>
          <w:lang w:val="zh-TW" w:bidi="ar"/>
        </w:rPr>
        <w:t xml:space="preserve">供应商</w:t>
      </w:r>
      <w:r>
        <w:rPr>
          <w:rFonts w:hint="eastAsia"/>
          <w:color w:val="000000"/>
          <w:sz w:val="24"/>
          <w:highlight w:val="none"/>
          <w:lang w:val="zh-TW" w:bidi="ar"/>
        </w:rPr>
        <w:t xml:space="preserve">在开标前应当</w:t>
      </w:r>
      <w:r>
        <w:rPr>
          <w:rFonts w:ascii="宋体" w:hAnsi="宋体"/>
          <w:color w:val="000000"/>
          <w:sz w:val="24"/>
          <w:highlight w:val="none"/>
        </w:rPr>
        <w:t xml:space="preserve">使用</w:t>
      </w:r>
      <w:r>
        <w:rPr>
          <w:rFonts w:hint="eastAsia" w:ascii="宋体" w:hAnsi="宋体"/>
          <w:color w:val="000000"/>
          <w:sz w:val="24"/>
          <w:highlight w:val="none"/>
          <w:lang w:eastAsia="zh-CN"/>
        </w:rPr>
        <w:t xml:space="preserve">“</w:t>
      </w:r>
      <w:r>
        <w:rPr>
          <w:rFonts w:ascii="宋体" w:hAnsi="宋体"/>
          <w:color w:val="000000"/>
          <w:sz w:val="24"/>
          <w:highlight w:val="none"/>
        </w:rPr>
        <w:t xml:space="preserve">验证CA</w:t>
      </w:r>
      <w:r>
        <w:rPr>
          <w:rFonts w:hint="eastAsia" w:ascii="宋体" w:hAnsi="宋体"/>
          <w:color w:val="000000"/>
          <w:sz w:val="24"/>
          <w:highlight w:val="none"/>
          <w:lang w:eastAsia="zh-CN"/>
        </w:rPr>
        <w:t xml:space="preserve">”</w:t>
      </w:r>
      <w:r>
        <w:rPr>
          <w:rFonts w:ascii="宋体" w:hAnsi="宋体"/>
          <w:color w:val="000000"/>
          <w:sz w:val="24"/>
          <w:highlight w:val="none"/>
        </w:rPr>
        <w:t xml:space="preserve">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w:t>
      </w:r>
      <w:r>
        <w:rPr>
          <w:rFonts w:hint="eastAsia" w:ascii="宋体" w:hAnsi="宋体"/>
          <w:color w:val="000000"/>
          <w:sz w:val="24"/>
          <w:highlight w:val="none"/>
        </w:rPr>
        <w:t xml:space="preserve">计算机</w:t>
      </w:r>
      <w:r>
        <w:rPr>
          <w:rFonts w:ascii="宋体" w:hAnsi="宋体"/>
          <w:color w:val="000000"/>
          <w:sz w:val="24"/>
          <w:highlight w:val="none"/>
        </w:rPr>
        <w:t xml:space="preserve">进行操作，否则造成相应后果由投标</w:t>
      </w:r>
      <w:r>
        <w:rPr>
          <w:rFonts w:hint="eastAsia" w:ascii="宋体" w:hAnsi="宋体"/>
          <w:color w:val="000000"/>
          <w:sz w:val="24"/>
          <w:highlight w:val="none"/>
        </w:rPr>
        <w:t xml:space="preserve">人</w:t>
      </w:r>
      <w:r>
        <w:rPr>
          <w:rFonts w:ascii="宋体" w:hAnsi="宋体"/>
          <w:color w:val="000000"/>
          <w:sz w:val="24"/>
          <w:highlight w:val="none"/>
        </w:rPr>
        <w:t xml:space="preserve">自行承担。</w:t>
      </w:r>
      <w:r>
        <w:rPr>
          <w:color w:val="000000"/>
          <w:sz w:val="24"/>
          <w:highlight w:val="none"/>
          <w:lang w:eastAsia="zh-TW"/>
        </w:rPr>
      </w:r>
      <w:r/>
    </w:p>
    <w:p>
      <w:pPr>
        <w:pStyle w:val="1005"/>
        <w:ind w:firstLine="480"/>
        <w:spacing w:line="360" w:lineRule="auto"/>
        <w:rPr>
          <w:color w:val="000000"/>
          <w:sz w:val="24"/>
          <w:highlight w:val="none"/>
          <w:lang w:val="zh-TW" w:bidi="ar"/>
        </w:rPr>
      </w:pPr>
      <w:r>
        <w:rPr>
          <w:rFonts w:eastAsia="PMingLiU"/>
          <w:color w:val="000000"/>
          <w:sz w:val="24"/>
          <w:highlight w:val="none"/>
          <w:lang w:val="zh-TW" w:eastAsia="zh-TW" w:bidi="ar"/>
        </w:rPr>
        <w:t xml:space="preserve">3</w:t>
      </w:r>
      <w:r>
        <w:rPr>
          <w:rFonts w:hint="eastAsia"/>
          <w:color w:val="000000"/>
          <w:sz w:val="24"/>
          <w:highlight w:val="none"/>
          <w:lang w:val="zh-TW" w:bidi="ar"/>
        </w:rPr>
        <w:t xml:space="preserve">.关于常州市中小企业政府采购信用融资：</w:t>
      </w:r>
      <w:r>
        <w:rPr>
          <w:color w:val="000000"/>
          <w:sz w:val="24"/>
          <w:highlight w:val="none"/>
          <w:lang w:val="zh-TW" w:bidi="ar"/>
        </w:rPr>
      </w:r>
      <w:r/>
    </w:p>
    <w:p>
      <w:pPr>
        <w:pStyle w:val="1005"/>
        <w:ind w:firstLine="480"/>
        <w:spacing w:line="360" w:lineRule="auto"/>
        <w:rPr>
          <w:color w:val="000000"/>
          <w:sz w:val="24"/>
          <w:highlight w:val="none"/>
          <w:lang w:val="zh-TW" w:bidi="ar"/>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通知书或中标合同，为中标中小企业供应商提供相应额度贷款的融资模式。申请条件及操作流程等事项详见该文件相关内容或者常州市政府采购网--政采融资平台栏目。</w:t>
      </w:r>
      <w:r>
        <w:rPr>
          <w:color w:val="000000"/>
          <w:sz w:val="24"/>
          <w:highlight w:val="none"/>
          <w:lang w:val="zh-TW" w:bidi="ar"/>
        </w:rPr>
      </w:r>
      <w:r/>
    </w:p>
    <w:p>
      <w:pPr>
        <w:pStyle w:val="1007"/>
        <w:jc w:val="left"/>
        <w:spacing w:before="0" w:line="360" w:lineRule="auto"/>
        <w:rPr>
          <w:rFonts w:ascii="Times New Roman" w:hAnsi="Times New Roman" w:eastAsia="宋体"/>
          <w:color w:val="000000"/>
          <w:sz w:val="24"/>
          <w:szCs w:val="24"/>
          <w:highlight w:val="none"/>
        </w:rPr>
      </w:pPr>
      <w:r/>
      <w:bookmarkStart w:id="29" w:name="_Toc35393796"/>
      <w:r/>
      <w:bookmarkStart w:id="30" w:name="_Toc35393627"/>
      <w:r/>
      <w:bookmarkStart w:id="31" w:name="_Toc28359085"/>
      <w:r/>
      <w:bookmarkStart w:id="32" w:name="_Toc28359008"/>
      <w:r>
        <w:rPr>
          <w:rFonts w:ascii="Times New Roman" w:hAnsi="Times New Roman" w:eastAsia="宋体"/>
          <w:color w:val="000000"/>
          <w:sz w:val="24"/>
          <w:szCs w:val="24"/>
          <w:highlight w:val="none"/>
        </w:rPr>
        <w:t xml:space="preserve">七、对本次招标提出询问，请按以下方式联系。</w:t>
      </w:r>
      <w:bookmarkEnd w:id="29"/>
      <w:r/>
      <w:bookmarkEnd w:id="30"/>
      <w:r/>
      <w:bookmarkEnd w:id="31"/>
      <w:r/>
      <w:bookmarkEnd w:id="32"/>
      <w:r>
        <w:rPr>
          <w:rFonts w:ascii="Times New Roman" w:hAnsi="Times New Roman" w:eastAsia="宋体"/>
          <w:color w:val="000000"/>
          <w:sz w:val="24"/>
          <w:szCs w:val="24"/>
          <w:highlight w:val="none"/>
        </w:rPr>
      </w:r>
      <w:r/>
    </w:p>
    <w:p>
      <w:pPr>
        <w:pStyle w:val="1005"/>
        <w:ind w:firstLine="482"/>
        <w:jc w:val="left"/>
        <w:spacing w:line="360" w:lineRule="auto"/>
        <w:widowControl/>
        <w:rPr>
          <w:b/>
          <w:color w:val="000000"/>
          <w:sz w:val="24"/>
          <w:highlight w:val="none"/>
        </w:rPr>
      </w:pPr>
      <w:r>
        <w:rPr>
          <w:b/>
          <w:color w:val="000000"/>
          <w:sz w:val="24"/>
          <w:highlight w:val="none"/>
        </w:rPr>
        <w:t xml:space="preserve">1.招标人信息</w:t>
      </w:r>
      <w:r>
        <w:rPr>
          <w:b/>
          <w:color w:val="000000"/>
          <w:sz w:val="24"/>
          <w:highlight w:val="none"/>
        </w:rPr>
      </w:r>
      <w:r/>
    </w:p>
    <w:p>
      <w:pPr>
        <w:pStyle w:val="1005"/>
        <w:ind w:firstLine="480"/>
        <w:jc w:val="left"/>
        <w:spacing w:line="360" w:lineRule="auto"/>
        <w:rPr>
          <w:rFonts w:hint="eastAsia" w:ascii="宋体" w:hAnsi="宋体" w:cs="宋体"/>
          <w:color w:val="000000"/>
          <w:sz w:val="24"/>
          <w:highlight w:val="none"/>
        </w:rPr>
      </w:pPr>
      <w:r/>
      <w:bookmarkStart w:id="33" w:name="_Toc28359009"/>
      <w:r/>
      <w:bookmarkStart w:id="34" w:name="_Toc28359086"/>
      <w:r>
        <w:rPr>
          <w:rFonts w:hint="eastAsia" w:ascii="宋体" w:hAnsi="宋体" w:cs="宋体"/>
          <w:color w:val="000000"/>
          <w:sz w:val="24"/>
          <w:highlight w:val="none"/>
        </w:rPr>
        <w:t xml:space="preserve">名 </w:t>
      </w:r>
      <w:r>
        <w:rPr>
          <w:rFonts w:ascii="宋体" w:hAnsi="宋体" w:cs="宋体"/>
          <w:color w:val="000000"/>
          <w:sz w:val="24"/>
          <w:highlight w:val="none"/>
        </w:rPr>
        <w:t xml:space="preserve"> </w:t>
      </w:r>
      <w:r>
        <w:rPr>
          <w:rFonts w:hint="eastAsia" w:ascii="宋体" w:hAnsi="宋体" w:cs="宋体"/>
          <w:color w:val="000000"/>
          <w:sz w:val="24"/>
          <w:highlight w:val="none"/>
        </w:rPr>
        <w:t xml:space="preserve">  称：常州市排水管理处</w:t>
      </w:r>
      <w:r>
        <w:rPr>
          <w:rFonts w:hint="eastAsia" w:ascii="宋体" w:hAnsi="宋体" w:cs="宋体"/>
          <w:color w:val="000000"/>
          <w:sz w:val="24"/>
          <w:highlight w:val="none"/>
        </w:rPr>
      </w:r>
      <w:r/>
    </w:p>
    <w:p>
      <w:pPr>
        <w:pStyle w:val="100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w:t>
      </w:r>
      <w:r>
        <w:rPr>
          <w:rFonts w:ascii="宋体" w:hAnsi="宋体" w:cs="宋体"/>
          <w:color w:val="000000"/>
          <w:sz w:val="24"/>
          <w:highlight w:val="none"/>
        </w:rPr>
        <w:t xml:space="preserve"> </w:t>
      </w:r>
      <w:r>
        <w:rPr>
          <w:rFonts w:hint="eastAsia" w:ascii="宋体" w:hAnsi="宋体" w:cs="宋体"/>
          <w:color w:val="000000"/>
          <w:sz w:val="24"/>
          <w:highlight w:val="none"/>
        </w:rPr>
        <w:t xml:space="preserve">  址：常州市天宁区飞龙东路116号</w:t>
      </w:r>
      <w:r>
        <w:rPr>
          <w:rFonts w:ascii="宋体" w:hAnsi="宋体" w:cs="宋体"/>
          <w:color w:val="000000"/>
          <w:sz w:val="24"/>
          <w:highlight w:val="none"/>
        </w:rPr>
      </w:r>
      <w:r/>
    </w:p>
    <w:p>
      <w:pPr>
        <w:pStyle w:val="100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联系方式：0519-8557087</w:t>
      </w:r>
      <w:r>
        <w:rPr>
          <w:rFonts w:ascii="宋体" w:hAnsi="宋体" w:cs="宋体"/>
          <w:color w:val="000000"/>
          <w:sz w:val="24"/>
          <w:highlight w:val="none"/>
        </w:rPr>
        <w:t xml:space="preserve">3</w:t>
      </w:r>
      <w:r>
        <w:rPr>
          <w:rFonts w:hint="eastAsia" w:ascii="宋体" w:hAnsi="宋体" w:cs="宋体"/>
          <w:color w:val="000000"/>
          <w:sz w:val="24"/>
          <w:highlight w:val="none"/>
        </w:rPr>
      </w:r>
      <w:r/>
    </w:p>
    <w:p>
      <w:pPr>
        <w:pStyle w:val="1005"/>
        <w:ind w:firstLine="482"/>
        <w:jc w:val="left"/>
        <w:spacing w:line="360" w:lineRule="auto"/>
        <w:rPr>
          <w:b/>
          <w:color w:val="000000"/>
          <w:sz w:val="24"/>
          <w:highlight w:val="none"/>
        </w:rPr>
      </w:pPr>
      <w:r>
        <w:rPr>
          <w:b/>
          <w:color w:val="000000"/>
          <w:sz w:val="24"/>
          <w:highlight w:val="none"/>
        </w:rPr>
        <w:t xml:space="preserve">2.招标代理机构信息</w:t>
      </w:r>
      <w:bookmarkEnd w:id="33"/>
      <w:r/>
      <w:bookmarkEnd w:id="34"/>
      <w:r>
        <w:rPr>
          <w:b/>
          <w:color w:val="000000"/>
          <w:sz w:val="24"/>
          <w:highlight w:val="none"/>
        </w:rPr>
      </w:r>
      <w:r/>
    </w:p>
    <w:p>
      <w:pPr>
        <w:pStyle w:val="1005"/>
        <w:ind w:firstLine="480"/>
        <w:spacing w:line="360" w:lineRule="auto"/>
        <w:rPr>
          <w:rFonts w:ascii="宋体" w:hAnsi="宋体" w:cs="宋体"/>
          <w:color w:val="000000"/>
          <w:sz w:val="24"/>
          <w:highlight w:val="none"/>
        </w:rPr>
      </w:pPr>
      <w:r/>
      <w:bookmarkStart w:id="35" w:name="_Toc28359087"/>
      <w:r/>
      <w:bookmarkStart w:id="36" w:name="_Toc28359010"/>
      <w:r>
        <w:rPr>
          <w:rFonts w:hint="eastAsia" w:ascii="宋体" w:hAnsi="宋体" w:cs="宋体"/>
          <w:color w:val="000000"/>
          <w:sz w:val="24"/>
          <w:highlight w:val="none"/>
        </w:rPr>
        <w:t xml:space="preserve">名     称：江苏中冠工程咨询有限公司</w:t>
      </w:r>
      <w:r>
        <w:rPr>
          <w:rFonts w:ascii="宋体" w:hAnsi="宋体" w:cs="宋体"/>
          <w:color w:val="000000"/>
          <w:sz w:val="24"/>
          <w:highlight w:val="none"/>
        </w:rPr>
      </w:r>
      <w:r/>
    </w:p>
    <w:p>
      <w:pPr>
        <w:pStyle w:val="10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址：常州市新北区龙锦路1259-2号</w:t>
      </w:r>
      <w:r>
        <w:rPr>
          <w:rFonts w:ascii="宋体" w:hAnsi="宋体" w:cs="宋体"/>
          <w:color w:val="000000"/>
          <w:sz w:val="24"/>
          <w:highlight w:val="none"/>
        </w:rPr>
        <w:t xml:space="preserve">9</w:t>
      </w:r>
      <w:r>
        <w:rPr>
          <w:rFonts w:hint="eastAsia" w:ascii="宋体" w:hAnsi="宋体" w:cs="宋体"/>
          <w:color w:val="000000"/>
          <w:sz w:val="24"/>
          <w:highlight w:val="none"/>
        </w:rPr>
        <w:t xml:space="preserve">楼</w:t>
      </w:r>
      <w:r>
        <w:rPr>
          <w:rFonts w:ascii="宋体" w:hAnsi="宋体" w:cs="宋体"/>
          <w:color w:val="000000"/>
          <w:sz w:val="24"/>
          <w:highlight w:val="none"/>
        </w:rPr>
      </w:r>
      <w:r/>
    </w:p>
    <w:p>
      <w:pPr>
        <w:pStyle w:val="1005"/>
        <w:ind w:firstLine="480"/>
        <w:jc w:val="left"/>
        <w:spacing w:line="360" w:lineRule="auto"/>
        <w:rPr>
          <w:color w:val="000000"/>
          <w:sz w:val="24"/>
          <w:highlight w:val="none"/>
          <w:u w:val="single"/>
        </w:rPr>
      </w:pPr>
      <w:r>
        <w:rPr>
          <w:rFonts w:hint="eastAsia" w:ascii="宋体" w:hAnsi="宋体" w:cs="宋体"/>
          <w:color w:val="000000"/>
          <w:sz w:val="24"/>
          <w:highlight w:val="none"/>
        </w:rPr>
        <w:t xml:space="preserve">联系方式：0519-85581855</w:t>
      </w:r>
      <w:r>
        <w:rPr>
          <w:color w:val="000000"/>
          <w:sz w:val="24"/>
          <w:highlight w:val="none"/>
          <w:u w:val="single"/>
        </w:rPr>
      </w:r>
      <w:r/>
    </w:p>
    <w:p>
      <w:pPr>
        <w:pStyle w:val="1005"/>
        <w:ind w:firstLine="482"/>
        <w:spacing w:line="360" w:lineRule="auto"/>
        <w:rPr>
          <w:b/>
          <w:color w:val="000000"/>
          <w:sz w:val="24"/>
          <w:highlight w:val="none"/>
          <w:u w:val="single"/>
        </w:rPr>
      </w:pPr>
      <w:r>
        <w:rPr>
          <w:b/>
          <w:color w:val="000000"/>
          <w:sz w:val="24"/>
          <w:highlight w:val="none"/>
        </w:rPr>
        <w:t xml:space="preserve">3.项目联系方式</w:t>
      </w:r>
      <w:bookmarkEnd w:id="35"/>
      <w:r/>
      <w:bookmarkEnd w:id="36"/>
      <w:r>
        <w:rPr>
          <w:b/>
          <w:color w:val="000000"/>
          <w:sz w:val="24"/>
          <w:highlight w:val="none"/>
          <w:u w:val="single"/>
        </w:rPr>
      </w:r>
      <w:r/>
    </w:p>
    <w:p>
      <w:pPr>
        <w:pStyle w:val="10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项目联系人：朱先生</w:t>
      </w:r>
      <w:r>
        <w:rPr>
          <w:rFonts w:ascii="宋体" w:hAnsi="宋体" w:cs="宋体"/>
          <w:color w:val="000000"/>
          <w:sz w:val="24"/>
          <w:highlight w:val="none"/>
        </w:rPr>
      </w:r>
      <w:r/>
    </w:p>
    <w:p>
      <w:pPr>
        <w:pStyle w:val="1045"/>
        <w:ind w:firstLine="480"/>
        <w:spacing w:line="360" w:lineRule="auto"/>
        <w:rPr>
          <w:rFonts w:ascii="Times New Roman" w:hAnsi="Times New Roman"/>
          <w:color w:val="000000"/>
          <w:sz w:val="24"/>
          <w:szCs w:val="24"/>
          <w:highlight w:val="none"/>
        </w:rPr>
      </w:pPr>
      <w:r>
        <w:rPr>
          <w:rFonts w:hAnsi="宋体" w:cs="宋体"/>
          <w:color w:val="000000"/>
          <w:sz w:val="24"/>
          <w:szCs w:val="24"/>
          <w:highlight w:val="none"/>
        </w:rPr>
        <w:t xml:space="preserve">电　　  话：0519-85581855</w:t>
      </w:r>
      <w:r>
        <w:rPr>
          <w:rFonts w:ascii="Times New Roman" w:hAnsi="Times New Roman"/>
          <w:color w:val="000000"/>
          <w:sz w:val="24"/>
          <w:szCs w:val="24"/>
          <w:highlight w:val="none"/>
        </w:rPr>
      </w:r>
      <w:r/>
    </w:p>
    <w:p>
      <w:pPr>
        <w:pStyle w:val="1005"/>
        <w:jc w:val="center"/>
        <w:spacing w:line="360" w:lineRule="auto"/>
        <w:rPr>
          <w:b/>
          <w:color w:val="000000"/>
          <w:sz w:val="36"/>
          <w:szCs w:val="36"/>
          <w:highlight w:val="none"/>
        </w:rPr>
        <w:sectPr>
          <w:headerReference w:type="first" r:id="rId12"/>
          <w:footerReference w:type="default" r:id="rId18"/>
          <w:footnotePr/>
          <w:endnotePr/>
          <w:type w:val="nextColumn"/>
          <w:pgSz w:w="11907" w:h="16840" w:orient="portrait"/>
          <w:pgMar w:top="1418" w:right="1134" w:bottom="1418" w:left="1701" w:header="851" w:footer="851" w:gutter="0"/>
          <w:cols w:num="1" w:sep="0" w:space="1701" w:equalWidth="1"/>
          <w:docGrid w:linePitch="360"/>
          <w:titlePg/>
        </w:sectPr>
        <w:outlineLvl w:val="0"/>
      </w:pPr>
      <w:r/>
      <w:bookmarkStart w:id="37" w:name="_Toc264969275"/>
      <w:r/>
      <w:bookmarkStart w:id="38" w:name="_Toc226965856"/>
      <w:r/>
      <w:bookmarkStart w:id="39" w:name="_Toc127151777"/>
      <w:r/>
      <w:bookmarkStart w:id="40" w:name="_Toc512937850"/>
      <w:r/>
      <w:bookmarkStart w:id="41" w:name="_Toc127161488"/>
      <w:r/>
      <w:bookmarkStart w:id="42" w:name="_Toc353873938"/>
      <w:r/>
      <w:bookmarkStart w:id="43" w:name="_Toc195842950"/>
      <w:r/>
      <w:bookmarkStart w:id="44" w:name="_Toc305158928"/>
      <w:r/>
      <w:bookmarkStart w:id="45" w:name="_Toc353825548"/>
      <w:r/>
      <w:bookmarkStart w:id="46" w:name="_Toc150774783"/>
      <w:r/>
      <w:bookmarkStart w:id="47" w:name="_Toc305158854"/>
      <w:r/>
      <w:bookmarkStart w:id="48" w:name="_Toc265228423"/>
      <w:r>
        <w:rPr>
          <w:b/>
          <w:color w:val="000000"/>
          <w:sz w:val="36"/>
          <w:szCs w:val="36"/>
          <w:highlight w:val="none"/>
        </w:rPr>
        <w:br w:type="page" w:clear="all"/>
      </w:r>
      <w:r/>
    </w:p>
    <w:p>
      <w:pPr>
        <w:pStyle w:val="1005"/>
        <w:jc w:val="center"/>
        <w:spacing w:line="360" w:lineRule="auto"/>
        <w:rPr>
          <w:b/>
          <w:color w:val="000000"/>
          <w:sz w:val="32"/>
          <w:szCs w:val="32"/>
          <w:highlight w:val="none"/>
        </w:rPr>
        <w:outlineLvl w:val="0"/>
      </w:pPr>
      <w:r/>
      <w:bookmarkStart w:id="49" w:name="_Toc17447"/>
      <w:r>
        <w:rPr>
          <w:b/>
          <w:color w:val="000000"/>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2"/>
          <w:szCs w:val="32"/>
          <w:highlight w:val="none"/>
        </w:rPr>
      </w:r>
      <w:r/>
    </w:p>
    <w:p>
      <w:pPr>
        <w:pStyle w:val="1007"/>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0" w:name="_Toc151193761"/>
      <w:r/>
      <w:bookmarkStart w:id="51" w:name="_Toc520356144"/>
      <w:r/>
      <w:bookmarkStart w:id="52" w:name="_Toc151190146"/>
      <w:r/>
      <w:bookmarkStart w:id="53" w:name="_Toc226965709"/>
      <w:r/>
      <w:bookmarkStart w:id="54" w:name="_Toc149720812"/>
      <w:r/>
      <w:bookmarkStart w:id="55" w:name="_Toc226309763"/>
      <w:r/>
      <w:bookmarkStart w:id="56" w:name="_Toc150774724"/>
      <w:r/>
      <w:bookmarkStart w:id="57" w:name="_Toc164229214"/>
      <w:r/>
      <w:bookmarkStart w:id="58" w:name="_Toc150480757"/>
      <w:r/>
      <w:bookmarkStart w:id="59" w:name="_Toc164351613"/>
      <w:r/>
      <w:bookmarkStart w:id="60" w:name="_Toc164608788"/>
      <w:r/>
      <w:bookmarkStart w:id="61" w:name="_Toc164608633"/>
      <w:r/>
      <w:bookmarkStart w:id="62" w:name="_Toc151193907"/>
      <w:r/>
      <w:bookmarkStart w:id="63" w:name="_Toc127161433"/>
      <w:r/>
      <w:bookmarkStart w:id="64" w:name="_Toc142311021"/>
      <w:r/>
      <w:bookmarkStart w:id="65" w:name="_Toc195842884"/>
      <w:r/>
      <w:bookmarkStart w:id="66" w:name="_Toc127151519"/>
      <w:r/>
      <w:bookmarkStart w:id="67" w:name="_Toc150509270"/>
      <w:r/>
      <w:bookmarkStart w:id="68" w:name="_Toc150774619"/>
      <w:r/>
      <w:bookmarkStart w:id="69" w:name="_Toc164229360"/>
      <w:r/>
      <w:bookmarkStart w:id="70" w:name="_Toc127151720"/>
      <w:r/>
      <w:bookmarkStart w:id="71" w:name="_Toc226965792"/>
      <w:r/>
      <w:bookmarkStart w:id="72" w:name="_Toc151193617"/>
      <w:r/>
      <w:bookmarkStart w:id="73" w:name="_Toc151193689"/>
      <w:r/>
      <w:bookmarkStart w:id="74" w:name="_Toc226337215"/>
      <w:r/>
      <w:bookmarkStart w:id="75" w:name="_Toc151193833"/>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05"/>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1005"/>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1005"/>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27"/>
        </w:trPr>
        <w:tc>
          <w:tcPr>
            <w:tcW w:w="988" w:type="dxa"/>
            <w:vAlign w:val="center"/>
            <w:textDirection w:val="lrTb"/>
            <w:noWrap w:val="false"/>
          </w:tcPr>
          <w:p>
            <w:pPr>
              <w:pStyle w:val="1045"/>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2.2</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005"/>
              <w:jc w:val="center"/>
              <w:rPr>
                <w:color w:val="000000"/>
                <w:sz w:val="24"/>
                <w:highlight w:val="none"/>
              </w:rPr>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1005"/>
              <w:jc w:val="left"/>
              <w:rPr>
                <w:color w:val="000000"/>
                <w:sz w:val="24"/>
                <w:highlight w:val="none"/>
              </w:rPr>
            </w:pPr>
            <w:r>
              <w:rPr>
                <w:color w:val="000000"/>
                <w:sz w:val="24"/>
                <w:highlight w:val="none"/>
              </w:rPr>
              <w:t xml:space="preserve">项目属性：</w:t>
            </w:r>
            <w:r>
              <w:rPr>
                <w:color w:val="000000"/>
                <w:sz w:val="24"/>
                <w:highlight w:val="none"/>
              </w:rPr>
            </w:r>
            <w:r/>
          </w:p>
          <w:p>
            <w:pPr>
              <w:pStyle w:val="1005"/>
              <w:jc w:val="left"/>
              <w:rPr>
                <w:color w:val="000000"/>
                <w:sz w:val="24"/>
                <w:highlight w:val="none"/>
              </w:rPr>
            </w:pPr>
            <w:r>
              <w:rPr>
                <w:color w:val="000000"/>
                <w:sz w:val="24"/>
                <w:highlight w:val="none"/>
              </w:rPr>
              <w:t xml:space="preserve">■服务</w:t>
            </w:r>
            <w:r>
              <w:rPr>
                <w:color w:val="000000"/>
                <w:sz w:val="24"/>
                <w:highlight w:val="none"/>
              </w:rPr>
            </w:r>
            <w:r/>
          </w:p>
          <w:p>
            <w:pPr>
              <w:pStyle w:val="1005"/>
              <w:jc w:val="left"/>
              <w:rPr>
                <w:rFonts w:hint="eastAsia"/>
                <w:color w:val="000000"/>
                <w:sz w:val="24"/>
                <w:highlight w:val="none"/>
                <w:u w:val="single"/>
              </w:rPr>
            </w:pPr>
            <w:r>
              <w:rPr>
                <w:color w:val="000000"/>
                <w:sz w:val="24"/>
                <w:highlight w:val="none"/>
              </w:rPr>
              <w:t xml:space="preserve">□货物</w:t>
            </w:r>
            <w:r>
              <w:rPr>
                <w:rFonts w:hint="eastAsia"/>
                <w:color w:val="000000"/>
                <w:sz w:val="24"/>
                <w:highlight w:val="none"/>
                <w:u w:val="single"/>
              </w:rPr>
            </w:r>
            <w:r/>
          </w:p>
        </w:tc>
      </w:tr>
      <w:tr>
        <w:trPr>
          <w:trHeight w:val="549"/>
        </w:trPr>
        <w:tc>
          <w:tcPr>
            <w:tcW w:w="988" w:type="dxa"/>
            <w:vAlign w:val="center"/>
            <w:textDirection w:val="lrTb"/>
            <w:noWrap w:val="false"/>
          </w:tcPr>
          <w:p>
            <w:pPr>
              <w:pStyle w:val="1045"/>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2.3</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005"/>
              <w:jc w:val="center"/>
              <w:rPr>
                <w:color w:val="000000"/>
                <w:sz w:val="24"/>
                <w:highlight w:val="none"/>
              </w:rPr>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1005"/>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1005"/>
              <w:jc w:val="left"/>
              <w:rPr>
                <w:color w:val="000000"/>
                <w:sz w:val="24"/>
                <w:highlight w:val="none"/>
              </w:rPr>
            </w:pPr>
            <w:r>
              <w:rPr>
                <w:color w:val="000000"/>
                <w:sz w:val="24"/>
                <w:highlight w:val="none"/>
              </w:rPr>
              <w:t xml:space="preserve">□是</w:t>
            </w:r>
            <w:r>
              <w:rPr>
                <w:color w:val="000000"/>
                <w:sz w:val="24"/>
                <w:highlight w:val="none"/>
              </w:rPr>
            </w:r>
            <w:r/>
          </w:p>
          <w:p>
            <w:pPr>
              <w:pStyle w:val="1005"/>
              <w:jc w:val="left"/>
              <w:rPr>
                <w:color w:val="000000"/>
                <w:sz w:val="24"/>
                <w:highlight w:val="none"/>
              </w:rPr>
            </w:pPr>
            <w:r>
              <w:rPr>
                <w:color w:val="000000"/>
                <w:sz w:val="24"/>
                <w:highlight w:val="none"/>
              </w:rPr>
              <w:t xml:space="preserve">■否</w:t>
            </w:r>
            <w:r>
              <w:rPr>
                <w:color w:val="000000"/>
                <w:sz w:val="24"/>
                <w:highlight w:val="none"/>
              </w:rPr>
            </w:r>
            <w:r/>
          </w:p>
        </w:tc>
      </w:tr>
      <w:tr>
        <w:trPr>
          <w:trHeight w:val="411"/>
        </w:trPr>
        <w:tc>
          <w:tcPr>
            <w:tcW w:w="988" w:type="dxa"/>
            <w:vAlign w:val="center"/>
            <w:vMerge w:val="restart"/>
            <w:textDirection w:val="lrTb"/>
            <w:noWrap w:val="false"/>
          </w:tcPr>
          <w:p>
            <w:pPr>
              <w:pStyle w:val="1045"/>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3.1</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005"/>
              <w:jc w:val="center"/>
              <w:rPr>
                <w:color w:val="000000"/>
                <w:sz w:val="24"/>
                <w:highlight w:val="none"/>
              </w:rPr>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1005"/>
              <w:jc w:val="left"/>
              <w:rPr>
                <w:color w:val="000000"/>
                <w:sz w:val="24"/>
                <w:highlight w:val="none"/>
              </w:rPr>
            </w:pPr>
            <w:r>
              <w:rPr>
                <w:color w:val="000000"/>
                <w:sz w:val="24"/>
                <w:highlight w:val="none"/>
              </w:rPr>
              <w:t xml:space="preserve">■不组织</w:t>
            </w:r>
            <w:r>
              <w:rPr>
                <w:color w:val="000000"/>
                <w:sz w:val="24"/>
                <w:highlight w:val="none"/>
              </w:rPr>
            </w:r>
            <w:r/>
          </w:p>
          <w:p>
            <w:pPr>
              <w:pStyle w:val="1005"/>
              <w:jc w:val="left"/>
              <w:rPr>
                <w:rFonts w:hint="eastAsia"/>
                <w:color w:val="000000"/>
                <w:highlight w:val="none"/>
              </w:rPr>
            </w:pPr>
            <w:r>
              <w:rPr>
                <w:color w:val="000000"/>
                <w:sz w:val="24"/>
                <w:highlight w:val="none"/>
              </w:rPr>
              <w:t xml:space="preserve">□组织</w:t>
            </w:r>
            <w:r>
              <w:rPr>
                <w:rFonts w:hint="eastAsia"/>
                <w:color w:val="000000"/>
                <w:highlight w:val="none"/>
              </w:rPr>
            </w:r>
            <w:r/>
          </w:p>
        </w:tc>
      </w:tr>
      <w:tr>
        <w:trPr>
          <w:trHeight w:val="416"/>
        </w:trPr>
        <w:tc>
          <w:tcPr>
            <w:tcW w:w="988" w:type="dxa"/>
            <w:vAlign w:val="center"/>
            <w:vMerge w:val="continue"/>
            <w:textDirection w:val="lrTb"/>
            <w:noWrap w:val="false"/>
          </w:tcPr>
          <w:p>
            <w:pPr>
              <w:pStyle w:val="1045"/>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005"/>
              <w:jc w:val="center"/>
              <w:rPr>
                <w:color w:val="000000"/>
                <w:sz w:val="24"/>
                <w:highlight w:val="none"/>
              </w:rPr>
            </w:pPr>
            <w:r>
              <w:rPr>
                <w:color w:val="000000"/>
                <w:sz w:val="24"/>
                <w:highlight w:val="none"/>
              </w:rPr>
              <w:t xml:space="preserve">开标前答疑会</w:t>
            </w:r>
            <w:r>
              <w:rPr>
                <w:color w:val="000000"/>
                <w:sz w:val="24"/>
                <w:highlight w:val="none"/>
              </w:rPr>
            </w:r>
            <w:r/>
          </w:p>
        </w:tc>
        <w:tc>
          <w:tcPr>
            <w:tcW w:w="7540" w:type="dxa"/>
            <w:vAlign w:val="center"/>
            <w:textDirection w:val="lrTb"/>
            <w:noWrap w:val="false"/>
          </w:tcPr>
          <w:p>
            <w:pPr>
              <w:pStyle w:val="1005"/>
              <w:jc w:val="left"/>
              <w:rPr>
                <w:color w:val="000000"/>
                <w:sz w:val="24"/>
                <w:highlight w:val="none"/>
              </w:rPr>
            </w:pPr>
            <w:r>
              <w:rPr>
                <w:color w:val="000000"/>
                <w:sz w:val="24"/>
                <w:highlight w:val="none"/>
              </w:rPr>
              <w:t xml:space="preserve">■不召开</w:t>
            </w:r>
            <w:r>
              <w:rPr>
                <w:color w:val="000000"/>
                <w:sz w:val="24"/>
                <w:highlight w:val="none"/>
              </w:rPr>
            </w:r>
            <w:r/>
          </w:p>
          <w:p>
            <w:pPr>
              <w:pStyle w:val="1005"/>
              <w:jc w:val="left"/>
              <w:rPr>
                <w:color w:val="000000"/>
                <w:sz w:val="24"/>
                <w:highlight w:val="none"/>
              </w:rPr>
            </w:pPr>
            <w:r>
              <w:rPr>
                <w:color w:val="000000"/>
                <w:sz w:val="24"/>
                <w:highlight w:val="none"/>
              </w:rPr>
              <w:t xml:space="preserve">□召开</w:t>
            </w:r>
            <w:r>
              <w:rPr>
                <w:color w:val="000000"/>
                <w:sz w:val="24"/>
                <w:highlight w:val="none"/>
              </w:rPr>
            </w:r>
            <w:r/>
          </w:p>
        </w:tc>
      </w:tr>
      <w:tr>
        <w:trPr>
          <w:trHeight w:val="423"/>
        </w:trPr>
        <w:tc>
          <w:tcPr>
            <w:tcW w:w="988" w:type="dxa"/>
            <w:vAlign w:val="center"/>
            <w:textDirection w:val="lrTb"/>
            <w:noWrap w:val="false"/>
          </w:tcPr>
          <w:p>
            <w:pPr>
              <w:pStyle w:val="1045"/>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4.1</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005"/>
              <w:jc w:val="center"/>
              <w:rPr>
                <w:color w:val="000000"/>
                <w:sz w:val="24"/>
                <w:highlight w:val="none"/>
              </w:rPr>
            </w:pPr>
            <w:r>
              <w:rPr>
                <w:color w:val="000000"/>
                <w:sz w:val="24"/>
                <w:highlight w:val="none"/>
              </w:rPr>
              <w:t xml:space="preserve">样品</w:t>
            </w:r>
            <w:r>
              <w:rPr>
                <w:color w:val="000000"/>
                <w:sz w:val="24"/>
                <w:highlight w:val="none"/>
              </w:rPr>
            </w:r>
            <w:r/>
          </w:p>
        </w:tc>
        <w:tc>
          <w:tcPr>
            <w:tcW w:w="7540" w:type="dxa"/>
            <w:vAlign w:val="center"/>
            <w:textDirection w:val="lrTb"/>
            <w:noWrap w:val="false"/>
          </w:tcPr>
          <w:p>
            <w:pPr>
              <w:pStyle w:val="1005"/>
              <w:jc w:val="left"/>
              <w:rPr>
                <w:color w:val="000000"/>
                <w:sz w:val="24"/>
                <w:highlight w:val="none"/>
              </w:rPr>
            </w:pPr>
            <w:r>
              <w:rPr>
                <w:color w:val="000000"/>
                <w:sz w:val="24"/>
                <w:highlight w:val="none"/>
              </w:rPr>
              <w:t xml:space="preserve">投标样品递交：</w:t>
            </w:r>
            <w:r>
              <w:rPr>
                <w:color w:val="000000"/>
                <w:sz w:val="24"/>
                <w:highlight w:val="none"/>
              </w:rPr>
            </w:r>
            <w:r/>
          </w:p>
          <w:p>
            <w:pPr>
              <w:pStyle w:val="1005"/>
              <w:jc w:val="left"/>
              <w:rPr>
                <w:color w:val="000000"/>
                <w:sz w:val="24"/>
                <w:highlight w:val="none"/>
              </w:rPr>
            </w:pPr>
            <w:r>
              <w:rPr>
                <w:color w:val="000000"/>
                <w:sz w:val="24"/>
                <w:highlight w:val="none"/>
              </w:rPr>
              <w:t xml:space="preserve">■不需要</w:t>
            </w:r>
            <w:r>
              <w:rPr>
                <w:color w:val="000000"/>
                <w:sz w:val="24"/>
                <w:highlight w:val="none"/>
              </w:rPr>
            </w:r>
            <w:r/>
          </w:p>
          <w:p>
            <w:pPr>
              <w:pStyle w:val="1005"/>
              <w:jc w:val="left"/>
              <w:rPr>
                <w:rFonts w:hint="eastAsia"/>
                <w:color w:val="000000"/>
                <w:sz w:val="24"/>
                <w:highlight w:val="none"/>
              </w:rPr>
            </w:pPr>
            <w:r>
              <w:rPr>
                <w:color w:val="000000"/>
                <w:sz w:val="24"/>
                <w:highlight w:val="none"/>
              </w:rPr>
              <w:t xml:space="preserve">□需要</w:t>
            </w:r>
            <w:r>
              <w:rPr>
                <w:rFonts w:hint="eastAsia"/>
                <w:color w:val="000000"/>
                <w:sz w:val="24"/>
                <w:highlight w:val="none"/>
              </w:rPr>
            </w:r>
            <w:r/>
          </w:p>
        </w:tc>
      </w:tr>
      <w:tr>
        <w:trPr>
          <w:trHeight w:val="305"/>
        </w:trPr>
        <w:tc>
          <w:tcPr>
            <w:tcW w:w="988" w:type="dxa"/>
            <w:vAlign w:val="center"/>
            <w:textDirection w:val="lrTb"/>
            <w:noWrap w:val="false"/>
          </w:tcPr>
          <w:p>
            <w:pPr>
              <w:pStyle w:val="1045"/>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5.2.5</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005"/>
              <w:jc w:val="center"/>
              <w:rPr>
                <w:color w:val="000000"/>
                <w:sz w:val="24"/>
                <w:highlight w:val="none"/>
              </w:rPr>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1005"/>
              <w:jc w:val="left"/>
              <w:rPr>
                <w:rFonts w:hint="eastAsia"/>
                <w:color w:val="000000"/>
                <w:sz w:val="24"/>
                <w:highlight w:val="none"/>
              </w:rPr>
            </w:pPr>
            <w:r>
              <w:rPr>
                <w:color w:val="000000"/>
                <w:sz w:val="24"/>
                <w:highlight w:val="none"/>
              </w:rPr>
              <w:t xml:space="preserve">本项目采购标的对应的中小企业划分标准所属行业：</w:t>
            </w:r>
            <w:r>
              <w:rPr>
                <w:rFonts w:hint="eastAsia"/>
                <w:b/>
                <w:bCs/>
                <w:color w:val="000000"/>
                <w:sz w:val="24"/>
                <w:highlight w:val="none"/>
              </w:rPr>
              <w:t xml:space="preserve">其他未列明行业</w:t>
            </w:r>
            <w:r>
              <w:rPr>
                <w:rFonts w:hint="eastAsia"/>
                <w:color w:val="000000"/>
                <w:sz w:val="24"/>
                <w:highlight w:val="none"/>
              </w:rPr>
            </w:r>
            <w:r/>
          </w:p>
        </w:tc>
      </w:tr>
      <w:tr>
        <w:trPr>
          <w:trHeight w:val="596"/>
        </w:trPr>
        <w:tc>
          <w:tcPr>
            <w:tcW w:w="988" w:type="dxa"/>
            <w:vAlign w:val="center"/>
            <w:textDirection w:val="lrTb"/>
            <w:noWrap w:val="false"/>
          </w:tcPr>
          <w:p>
            <w:pPr>
              <w:pStyle w:val="1045"/>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1</w:t>
            </w:r>
            <w:r>
              <w:rPr>
                <w:rFonts w:ascii="Times New Roman" w:hAnsi="Times New Roman"/>
                <w:color w:val="000000"/>
                <w:sz w:val="24"/>
                <w:szCs w:val="24"/>
                <w:highlight w:val="none"/>
                <w:lang w:val="en-US" w:eastAsia="zh-CN"/>
              </w:rPr>
              <w:t xml:space="preserve">1.2</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005"/>
              <w:jc w:val="center"/>
              <w:rPr>
                <w:color w:val="000000"/>
                <w:sz w:val="24"/>
                <w:highlight w:val="none"/>
              </w:rPr>
            </w:pPr>
            <w:r>
              <w:rPr>
                <w:rFonts w:hint="eastAsia"/>
                <w:color w:val="000000"/>
                <w:sz w:val="24"/>
                <w:highlight w:val="none"/>
              </w:rPr>
              <w:t xml:space="preserve">投标报价</w:t>
            </w:r>
            <w:r>
              <w:rPr>
                <w:color w:val="000000"/>
                <w:sz w:val="24"/>
                <w:highlight w:val="none"/>
              </w:rPr>
            </w:r>
            <w:r/>
          </w:p>
        </w:tc>
        <w:tc>
          <w:tcPr>
            <w:tcW w:w="7540" w:type="dxa"/>
            <w:vAlign w:val="center"/>
            <w:textDirection w:val="lrTb"/>
            <w:noWrap w:val="false"/>
          </w:tcPr>
          <w:p>
            <w:pPr>
              <w:pStyle w:val="1005"/>
              <w:jc w:val="left"/>
              <w:rPr>
                <w:color w:val="000000"/>
                <w:sz w:val="24"/>
                <w:highlight w:val="none"/>
              </w:rPr>
            </w:pPr>
            <w:r>
              <w:rPr>
                <w:rFonts w:hint="eastAsia"/>
                <w:color w:val="000000"/>
                <w:sz w:val="24"/>
                <w:highlight w:val="none"/>
              </w:rPr>
              <w:t xml:space="preserve">投标报价的特殊规定：</w:t>
            </w:r>
            <w:r>
              <w:rPr>
                <w:color w:val="000000"/>
                <w:sz w:val="24"/>
                <w:highlight w:val="none"/>
              </w:rPr>
            </w:r>
            <w:r/>
          </w:p>
          <w:p>
            <w:pPr>
              <w:pStyle w:val="1005"/>
              <w:jc w:val="left"/>
              <w:rPr>
                <w:color w:val="000000"/>
                <w:sz w:val="24"/>
                <w:highlight w:val="none"/>
              </w:rPr>
            </w:pPr>
            <w:r>
              <w:rPr>
                <w:color w:val="000000"/>
                <w:sz w:val="24"/>
                <w:highlight w:val="none"/>
              </w:rPr>
              <w:t xml:space="preserve">□无</w:t>
            </w:r>
            <w:r>
              <w:rPr>
                <w:color w:val="000000"/>
                <w:sz w:val="24"/>
                <w:highlight w:val="none"/>
              </w:rPr>
            </w:r>
            <w:r/>
          </w:p>
          <w:p>
            <w:pPr>
              <w:pStyle w:val="1005"/>
              <w:jc w:val="left"/>
              <w:rPr>
                <w:rFonts w:hint="eastAsia"/>
                <w:color w:val="000000"/>
                <w:sz w:val="24"/>
                <w:highlight w:val="none"/>
              </w:rPr>
            </w:pPr>
            <w:r>
              <w:rPr>
                <w:color w:val="000000"/>
                <w:sz w:val="24"/>
                <w:highlight w:val="none"/>
              </w:rPr>
              <w:t xml:space="preserve">■有，具体情形：</w:t>
            </w:r>
            <w:r>
              <w:rPr>
                <w:rFonts w:hint="eastAsia"/>
                <w:b/>
                <w:bCs/>
                <w:color w:val="000000"/>
                <w:sz w:val="24"/>
                <w:highlight w:val="none"/>
              </w:rPr>
              <w:t xml:space="preserve">本项目以优惠率进行报价，结算价=最高限价×（1-优惠率），例如：投标人所报优惠率为10%，则各项目结算单价=各项目最高限价×（1-10%），即各项目结算单价=各项目最高限价×90%。</w:t>
            </w:r>
            <w:r>
              <w:rPr>
                <w:rFonts w:hint="eastAsia"/>
                <w:color w:val="000000"/>
                <w:sz w:val="24"/>
                <w:highlight w:val="none"/>
              </w:rPr>
            </w:r>
            <w:r/>
          </w:p>
        </w:tc>
      </w:tr>
      <w:tr>
        <w:trPr>
          <w:trHeight w:val="337"/>
        </w:trPr>
        <w:tc>
          <w:tcPr>
            <w:tcW w:w="988" w:type="dxa"/>
            <w:vAlign w:val="center"/>
            <w:textDirection w:val="lrTb"/>
            <w:noWrap w:val="false"/>
          </w:tcPr>
          <w:p>
            <w:pPr>
              <w:pStyle w:val="1045"/>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12</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005"/>
              <w:jc w:val="center"/>
              <w:rPr>
                <w:color w:val="000000"/>
                <w:sz w:val="24"/>
                <w:highlight w:val="none"/>
              </w:rPr>
            </w:pPr>
            <w:r>
              <w:rPr>
                <w:rFonts w:hint="eastAsia"/>
                <w:color w:val="000000"/>
                <w:sz w:val="24"/>
                <w:highlight w:val="none"/>
              </w:rPr>
              <w:t xml:space="preserve">投标保证金</w:t>
            </w:r>
            <w:r>
              <w:rPr>
                <w:color w:val="000000"/>
                <w:sz w:val="24"/>
                <w:highlight w:val="none"/>
              </w:rPr>
            </w:r>
            <w:r/>
          </w:p>
        </w:tc>
        <w:tc>
          <w:tcPr>
            <w:tcW w:w="7540" w:type="dxa"/>
            <w:vAlign w:val="center"/>
            <w:textDirection w:val="lrTb"/>
            <w:noWrap w:val="false"/>
          </w:tcPr>
          <w:p>
            <w:pPr>
              <w:pStyle w:val="1005"/>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316"/>
        </w:trPr>
        <w:tc>
          <w:tcPr>
            <w:tcW w:w="988" w:type="dxa"/>
            <w:vAlign w:val="center"/>
            <w:textDirection w:val="lrTb"/>
            <w:noWrap w:val="false"/>
          </w:tcPr>
          <w:p>
            <w:pPr>
              <w:pStyle w:val="1045"/>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13.1</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005"/>
              <w:jc w:val="center"/>
              <w:rPr>
                <w:color w:val="000000"/>
                <w:sz w:val="24"/>
                <w:highlight w:val="none"/>
              </w:rPr>
            </w:pPr>
            <w:r>
              <w:rPr>
                <w:color w:val="000000"/>
                <w:sz w:val="24"/>
                <w:highlight w:val="none"/>
              </w:rPr>
              <w:t xml:space="preserve">投标有效期</w:t>
            </w:r>
            <w:r>
              <w:rPr>
                <w:color w:val="000000"/>
                <w:sz w:val="24"/>
                <w:highlight w:val="none"/>
              </w:rPr>
            </w:r>
            <w:r/>
          </w:p>
        </w:tc>
        <w:tc>
          <w:tcPr>
            <w:tcW w:w="7540" w:type="dxa"/>
            <w:vAlign w:val="center"/>
            <w:textDirection w:val="lrTb"/>
            <w:noWrap w:val="false"/>
          </w:tcPr>
          <w:p>
            <w:pPr>
              <w:pStyle w:val="1005"/>
              <w:jc w:val="left"/>
              <w:rPr>
                <w:color w:val="000000"/>
                <w:sz w:val="24"/>
                <w:highlight w:val="none"/>
              </w:rPr>
            </w:pPr>
            <w:r>
              <w:rPr>
                <w:color w:val="000000"/>
                <w:sz w:val="24"/>
                <w:highlight w:val="none"/>
              </w:rPr>
              <w:t xml:space="preserve">自提交投标文件的截止之日起算120日历天。</w:t>
            </w:r>
            <w:r>
              <w:rPr>
                <w:color w:val="000000"/>
                <w:sz w:val="24"/>
                <w:highlight w:val="none"/>
              </w:rPr>
            </w:r>
            <w:r/>
          </w:p>
        </w:tc>
      </w:tr>
      <w:tr>
        <w:trPr>
          <w:trHeight w:val="550"/>
        </w:trPr>
        <w:tc>
          <w:tcPr>
            <w:tcW w:w="988" w:type="dxa"/>
            <w:vAlign w:val="center"/>
            <w:textDirection w:val="lrTb"/>
            <w:noWrap w:val="false"/>
          </w:tcPr>
          <w:p>
            <w:pPr>
              <w:pStyle w:val="1045"/>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25.5</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005"/>
              <w:jc w:val="center"/>
              <w:rPr>
                <w:color w:val="000000"/>
                <w:sz w:val="24"/>
                <w:highlight w:val="none"/>
              </w:rPr>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1005"/>
              <w:jc w:val="left"/>
              <w:rPr>
                <w:color w:val="000000"/>
                <w:sz w:val="24"/>
                <w:highlight w:val="none"/>
              </w:rPr>
            </w:pPr>
            <w:r>
              <w:rPr>
                <w:color w:val="000000"/>
                <w:sz w:val="24"/>
                <w:highlight w:val="none"/>
              </w:rPr>
              <w:t xml:space="preserve">本项目的非主体、非关键性工作是否允许分包：</w:t>
            </w:r>
            <w:r>
              <w:rPr>
                <w:color w:val="000000"/>
                <w:sz w:val="24"/>
                <w:highlight w:val="none"/>
              </w:rPr>
            </w:r>
            <w:r/>
          </w:p>
          <w:p>
            <w:pPr>
              <w:pStyle w:val="1005"/>
              <w:jc w:val="left"/>
              <w:rPr>
                <w:color w:val="000000"/>
                <w:sz w:val="24"/>
                <w:highlight w:val="none"/>
              </w:rPr>
            </w:pPr>
            <w:r>
              <w:rPr>
                <w:color w:val="000000"/>
                <w:sz w:val="24"/>
                <w:highlight w:val="none"/>
              </w:rPr>
              <w:t xml:space="preserve">□不允许</w:t>
            </w:r>
            <w:r>
              <w:rPr>
                <w:color w:val="000000"/>
                <w:sz w:val="24"/>
                <w:highlight w:val="none"/>
              </w:rPr>
            </w:r>
            <w:r/>
          </w:p>
          <w:p>
            <w:pPr>
              <w:pStyle w:val="1005"/>
              <w:jc w:val="left"/>
              <w:rPr>
                <w:rFonts w:hint="eastAsia"/>
                <w:color w:val="000000"/>
                <w:sz w:val="24"/>
                <w:highlight w:val="none"/>
              </w:rPr>
            </w:pPr>
            <w:r>
              <w:rPr>
                <w:color w:val="000000"/>
                <w:sz w:val="24"/>
                <w:highlight w:val="none"/>
              </w:rPr>
              <w:t xml:space="preserve">■允许</w:t>
            </w:r>
            <w:r>
              <w:rPr>
                <w:rFonts w:hint="eastAsia"/>
                <w:color w:val="000000"/>
                <w:sz w:val="24"/>
                <w:highlight w:val="none"/>
              </w:rPr>
            </w:r>
            <w:r/>
          </w:p>
        </w:tc>
      </w:tr>
      <w:tr>
        <w:trPr>
          <w:trHeight w:val="358"/>
        </w:trPr>
        <w:tc>
          <w:tcPr>
            <w:tcW w:w="988" w:type="dxa"/>
            <w:vAlign w:val="center"/>
            <w:textDirection w:val="lrTb"/>
            <w:noWrap w:val="false"/>
          </w:tcPr>
          <w:p>
            <w:pPr>
              <w:pStyle w:val="1045"/>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26.1.1</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005"/>
              <w:jc w:val="center"/>
              <w:rPr>
                <w:color w:val="000000"/>
                <w:sz w:val="24"/>
                <w:highlight w:val="none"/>
              </w:rPr>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1005"/>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书面方式</w:t>
            </w:r>
            <w:r>
              <w:rPr>
                <w:color w:val="000000"/>
                <w:sz w:val="24"/>
                <w:highlight w:val="none"/>
              </w:rPr>
            </w:r>
            <w:r/>
          </w:p>
        </w:tc>
      </w:tr>
      <w:tr>
        <w:trPr>
          <w:trHeight w:val="1295"/>
        </w:trPr>
        <w:tc>
          <w:tcPr>
            <w:tcW w:w="988" w:type="dxa"/>
            <w:vAlign w:val="center"/>
            <w:textDirection w:val="lrTb"/>
            <w:noWrap w:val="false"/>
          </w:tcPr>
          <w:p>
            <w:pPr>
              <w:pStyle w:val="1045"/>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26.3</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005"/>
              <w:jc w:val="center"/>
              <w:rPr>
                <w:color w:val="000000"/>
                <w:sz w:val="24"/>
                <w:highlight w:val="none"/>
              </w:rPr>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1005"/>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1005"/>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江苏中冠工程咨询有限公司</w:t>
            </w:r>
            <w:r>
              <w:rPr>
                <w:color w:val="000000"/>
                <w:sz w:val="24"/>
                <w:highlight w:val="none"/>
              </w:rPr>
              <w:t xml:space="preserve">；</w:t>
            </w:r>
            <w:r>
              <w:rPr>
                <w:color w:val="000000"/>
                <w:sz w:val="24"/>
                <w:highlight w:val="none"/>
              </w:rPr>
            </w:r>
            <w:r/>
          </w:p>
          <w:p>
            <w:pPr>
              <w:pStyle w:val="1005"/>
              <w:jc w:val="left"/>
              <w:rPr>
                <w:color w:val="000000"/>
                <w:sz w:val="24"/>
                <w:highlight w:val="none"/>
              </w:rPr>
            </w:pPr>
            <w:r>
              <w:rPr>
                <w:color w:val="000000"/>
                <w:sz w:val="24"/>
                <w:highlight w:val="none"/>
              </w:rPr>
              <w:t xml:space="preserve">联系电话：0519-85581855；</w:t>
            </w:r>
            <w:r>
              <w:rPr>
                <w:color w:val="000000"/>
                <w:sz w:val="24"/>
                <w:highlight w:val="none"/>
              </w:rPr>
            </w:r>
            <w:r/>
          </w:p>
          <w:p>
            <w:pPr>
              <w:pStyle w:val="1005"/>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常州市新北区龙锦路1259-2号</w:t>
            </w:r>
            <w:r>
              <w:rPr>
                <w:color w:val="000000"/>
                <w:sz w:val="24"/>
                <w:highlight w:val="none"/>
              </w:rPr>
              <w:t xml:space="preserve">9</w:t>
            </w:r>
            <w:r>
              <w:rPr>
                <w:rFonts w:hint="eastAsia"/>
                <w:color w:val="000000"/>
                <w:sz w:val="24"/>
                <w:highlight w:val="none"/>
              </w:rPr>
              <w:t xml:space="preserve">楼</w:t>
            </w:r>
            <w:r>
              <w:rPr>
                <w:color w:val="000000"/>
                <w:sz w:val="24"/>
                <w:highlight w:val="none"/>
              </w:rPr>
              <w:t xml:space="preserve">901</w:t>
            </w:r>
            <w:r>
              <w:rPr>
                <w:rFonts w:hint="eastAsia"/>
                <w:color w:val="000000"/>
                <w:sz w:val="24"/>
                <w:highlight w:val="none"/>
              </w:rPr>
              <w:t xml:space="preserve">室</w:t>
            </w:r>
            <w:r>
              <w:rPr>
                <w:color w:val="000000"/>
                <w:sz w:val="24"/>
                <w:highlight w:val="none"/>
              </w:rPr>
              <w:t xml:space="preserve">。</w:t>
            </w:r>
            <w:r>
              <w:rPr>
                <w:color w:val="000000"/>
                <w:sz w:val="24"/>
                <w:highlight w:val="none"/>
              </w:rPr>
            </w:r>
            <w:r/>
          </w:p>
        </w:tc>
      </w:tr>
      <w:tr>
        <w:trPr>
          <w:trHeight w:val="421"/>
        </w:trPr>
        <w:tc>
          <w:tcPr>
            <w:tcW w:w="988" w:type="dxa"/>
            <w:vAlign w:val="center"/>
            <w:textDirection w:val="lrTb"/>
            <w:noWrap w:val="false"/>
          </w:tcPr>
          <w:p>
            <w:pPr>
              <w:pStyle w:val="1045"/>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27</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005"/>
              <w:jc w:val="center"/>
              <w:rPr>
                <w:color w:val="000000"/>
                <w:sz w:val="24"/>
                <w:highlight w:val="none"/>
              </w:rPr>
            </w:pPr>
            <w:r>
              <w:rPr>
                <w:color w:val="000000"/>
                <w:sz w:val="24"/>
                <w:highlight w:val="none"/>
              </w:rPr>
              <w:t xml:space="preserve">代理费</w:t>
            </w:r>
            <w:r>
              <w:rPr>
                <w:color w:val="000000"/>
                <w:sz w:val="24"/>
                <w:highlight w:val="none"/>
              </w:rPr>
            </w:r>
            <w:r/>
          </w:p>
        </w:tc>
        <w:tc>
          <w:tcPr>
            <w:tcW w:w="7540" w:type="dxa"/>
            <w:vAlign w:val="center"/>
            <w:textDirection w:val="lrTb"/>
            <w:noWrap w:val="false"/>
          </w:tcPr>
          <w:p>
            <w:pPr>
              <w:pStyle w:val="1005"/>
              <w:jc w:val="left"/>
              <w:rPr>
                <w:color w:val="000000"/>
                <w:sz w:val="24"/>
                <w:highlight w:val="none"/>
              </w:rPr>
            </w:pPr>
            <w:r>
              <w:rPr>
                <w:color w:val="000000"/>
                <w:sz w:val="24"/>
                <w:highlight w:val="none"/>
              </w:rPr>
              <w:t xml:space="preserve">收费对象：</w:t>
            </w:r>
            <w:r>
              <w:rPr>
                <w:color w:val="000000"/>
                <w:sz w:val="24"/>
                <w:highlight w:val="none"/>
              </w:rPr>
            </w:r>
            <w:r/>
          </w:p>
          <w:p>
            <w:pPr>
              <w:pStyle w:val="1005"/>
              <w:jc w:val="left"/>
              <w:rPr>
                <w:color w:val="000000"/>
                <w:sz w:val="24"/>
                <w:highlight w:val="none"/>
              </w:rPr>
            </w:pPr>
            <w:r>
              <w:rPr>
                <w:color w:val="000000"/>
                <w:sz w:val="24"/>
                <w:highlight w:val="none"/>
              </w:rPr>
              <w:t xml:space="preserve">□招标人</w:t>
            </w:r>
            <w:r>
              <w:rPr>
                <w:color w:val="000000"/>
                <w:sz w:val="24"/>
                <w:highlight w:val="none"/>
              </w:rPr>
            </w:r>
            <w:r/>
          </w:p>
          <w:p>
            <w:pPr>
              <w:pStyle w:val="1005"/>
              <w:jc w:val="left"/>
              <w:rPr>
                <w:rFonts w:hint="eastAsia"/>
                <w:color w:val="000000"/>
                <w:sz w:val="24"/>
                <w:highlight w:val="none"/>
              </w:rPr>
            </w:pPr>
            <w:r>
              <w:rPr>
                <w:color w:val="000000"/>
                <w:sz w:val="24"/>
                <w:highlight w:val="none"/>
              </w:rPr>
              <w:t xml:space="preserve">■中标人</w:t>
            </w:r>
            <w:r>
              <w:rPr>
                <w:rFonts w:hint="eastAsia"/>
                <w:color w:val="000000"/>
                <w:sz w:val="24"/>
                <w:highlight w:val="none"/>
              </w:rPr>
            </w:r>
            <w:r/>
          </w:p>
          <w:p>
            <w:pPr>
              <w:pStyle w:val="1005"/>
              <w:jc w:val="left"/>
              <w:rPr>
                <w:color w:val="000000"/>
                <w:sz w:val="24"/>
                <w:highlight w:val="none"/>
              </w:rPr>
            </w:pPr>
            <w:r>
              <w:rPr>
                <w:color w:val="000000"/>
                <w:sz w:val="24"/>
                <w:highlight w:val="none"/>
              </w:rPr>
              <w:t xml:space="preserve">收费标准：</w:t>
            </w:r>
            <w:r>
              <w:rPr>
                <w:rFonts w:hint="eastAsia"/>
                <w:color w:val="000000"/>
                <w:sz w:val="24"/>
                <w:highlight w:val="none"/>
              </w:rPr>
              <w:t xml:space="preserve">按</w:t>
            </w:r>
            <w:r>
              <w:rPr>
                <w:rFonts w:hint="eastAsia"/>
                <w:color w:val="000000"/>
                <w:sz w:val="24"/>
                <w:highlight w:val="none"/>
                <w:lang w:val="en-US" w:eastAsia="zh-CN"/>
              </w:rPr>
              <w:t xml:space="preserve">项目</w:t>
            </w:r>
            <w:r>
              <w:rPr>
                <w:rFonts w:hint="eastAsia"/>
                <w:color w:val="000000"/>
                <w:sz w:val="24"/>
                <w:highlight w:val="none"/>
              </w:rPr>
              <w:t xml:space="preserve">预算总金额的0.8%计算并支付中标服务费</w:t>
            </w:r>
            <w:r>
              <w:rPr>
                <w:color w:val="000000"/>
                <w:sz w:val="24"/>
                <w:highlight w:val="none"/>
              </w:rPr>
              <w:t xml:space="preserve">；</w:t>
            </w:r>
            <w:r>
              <w:rPr>
                <w:color w:val="000000"/>
                <w:sz w:val="24"/>
                <w:highlight w:val="none"/>
              </w:rPr>
            </w:r>
            <w:r/>
          </w:p>
          <w:p>
            <w:pPr>
              <w:pStyle w:val="1005"/>
              <w:jc w:val="left"/>
              <w:rPr>
                <w:rFonts w:hint="eastAsia" w:ascii="宋体" w:hAnsi="宋体"/>
                <w:color w:val="000000"/>
                <w:sz w:val="24"/>
                <w:highlight w:val="none"/>
              </w:rPr>
            </w:pPr>
            <w:r>
              <w:rPr>
                <w:color w:val="000000"/>
                <w:sz w:val="24"/>
                <w:highlight w:val="none"/>
              </w:rPr>
              <w:t xml:space="preserve">缴纳时间：</w:t>
            </w:r>
            <w:r>
              <w:rPr>
                <w:rFonts w:hint="eastAsia" w:ascii="宋体" w:hAnsi="宋体"/>
                <w:color w:val="000000"/>
                <w:sz w:val="24"/>
                <w:highlight w:val="none"/>
              </w:rPr>
              <w:t xml:space="preserve">在发出中标通知书后五个工作日内</w:t>
            </w:r>
            <w:r>
              <w:rPr>
                <w:color w:val="000000"/>
                <w:sz w:val="24"/>
                <w:highlight w:val="none"/>
              </w:rPr>
              <w:t xml:space="preserve">。</w:t>
            </w:r>
            <w:r>
              <w:rPr>
                <w:rFonts w:hint="eastAsia" w:ascii="宋体" w:hAnsi="宋体"/>
                <w:color w:val="000000"/>
                <w:sz w:val="24"/>
                <w:highlight w:val="none"/>
              </w:rPr>
            </w:r>
            <w:r/>
          </w:p>
          <w:p>
            <w:pPr>
              <w:pStyle w:val="1005"/>
              <w:jc w:val="left"/>
              <w:rPr>
                <w:color w:val="000000"/>
                <w:sz w:val="24"/>
                <w:highlight w:val="none"/>
              </w:rPr>
            </w:pPr>
            <w:r>
              <w:rPr>
                <w:rFonts w:hint="eastAsia"/>
                <w:color w:val="000000"/>
                <w:sz w:val="24"/>
                <w:highlight w:val="none"/>
              </w:rPr>
              <w:t xml:space="preserve">收款户名：江苏中冠工程咨询有限公司</w:t>
            </w:r>
            <w:r>
              <w:rPr>
                <w:color w:val="000000"/>
                <w:sz w:val="24"/>
                <w:highlight w:val="none"/>
              </w:rPr>
            </w:r>
            <w:r/>
          </w:p>
          <w:p>
            <w:pPr>
              <w:pStyle w:val="1005"/>
              <w:jc w:val="left"/>
              <w:rPr>
                <w:rFonts w:hint="eastAsia"/>
                <w:color w:val="000000"/>
                <w:sz w:val="24"/>
                <w:highlight w:val="none"/>
              </w:rPr>
            </w:pPr>
            <w:r>
              <w:rPr>
                <w:rFonts w:hint="eastAsia"/>
                <w:color w:val="000000"/>
                <w:sz w:val="24"/>
                <w:highlight w:val="none"/>
              </w:rPr>
              <w:t xml:space="preserve">开户银行：中国工商银行常州分行营业部营业室</w:t>
            </w:r>
            <w:r>
              <w:rPr>
                <w:rFonts w:hint="eastAsia"/>
                <w:color w:val="000000"/>
                <w:sz w:val="24"/>
                <w:highlight w:val="none"/>
              </w:rPr>
            </w:r>
            <w:r/>
          </w:p>
          <w:p>
            <w:pPr>
              <w:pStyle w:val="1005"/>
              <w:jc w:val="left"/>
              <w:rPr>
                <w:color w:val="000000"/>
                <w:sz w:val="24"/>
                <w:highlight w:val="none"/>
              </w:rPr>
            </w:pPr>
            <w:r>
              <w:rPr>
                <w:rFonts w:hint="eastAsia"/>
                <w:color w:val="000000"/>
                <w:sz w:val="24"/>
                <w:highlight w:val="none"/>
              </w:rPr>
              <w:t xml:space="preserve">账    号：1105020119000676959</w:t>
            </w:r>
            <w:r>
              <w:rPr>
                <w:color w:val="000000"/>
                <w:sz w:val="24"/>
                <w:highlight w:val="none"/>
              </w:rPr>
            </w:r>
            <w:r/>
          </w:p>
        </w:tc>
      </w:tr>
    </w:tbl>
    <w:p>
      <w:pPr>
        <w:pStyle w:val="1005"/>
        <w:jc w:val="both"/>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titlePg/>
        </w:sectPr>
      </w:pPr>
      <w:r>
        <w:rPr>
          <w:color w:val="000000"/>
          <w:sz w:val="24"/>
          <w:highlight w:val="none"/>
        </w:rPr>
      </w:r>
      <w:r/>
    </w:p>
    <w:p>
      <w:pPr>
        <w:pStyle w:val="1005"/>
        <w:jc w:val="center"/>
        <w:spacing w:before="240" w:after="240"/>
        <w:rPr>
          <w:b/>
          <w:color w:val="000000"/>
          <w:sz w:val="28"/>
          <w:szCs w:val="28"/>
          <w:highlight w:val="none"/>
        </w:rPr>
      </w:pPr>
      <w:r/>
      <w:bookmarkStart w:id="76" w:name="_Toc195842882"/>
      <w:r/>
      <w:bookmarkStart w:id="77" w:name="_Toc127151517"/>
      <w:r/>
      <w:bookmarkStart w:id="78" w:name="_Toc150774722"/>
      <w:r/>
      <w:bookmarkStart w:id="79" w:name="_Toc264969207"/>
      <w:r/>
      <w:bookmarkStart w:id="80" w:name="_Toc353825542"/>
      <w:r/>
      <w:bookmarkStart w:id="81" w:name="_Toc226965790"/>
      <w:r/>
      <w:bookmarkStart w:id="82" w:name="_Toc305158785"/>
      <w:r/>
      <w:bookmarkStart w:id="83" w:name="_Toc353873662"/>
      <w:r/>
      <w:bookmarkStart w:id="84" w:name="_Toc305158859"/>
      <w:r/>
      <w:bookmarkStart w:id="85" w:name="_Toc150480755"/>
      <w:r/>
      <w:bookmarkStart w:id="86" w:name="_Toc142311019"/>
      <w:r/>
      <w:bookmarkStart w:id="87" w:name="_Toc226337213"/>
      <w:r/>
      <w:bookmarkStart w:id="88" w:name="_Toc353873932"/>
      <w:r/>
      <w:bookmarkStart w:id="89" w:name="_Toc265228355"/>
      <w:r>
        <w:rPr>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b/>
          <w:color w:val="000000"/>
          <w:sz w:val="28"/>
          <w:szCs w:val="28"/>
          <w:highlight w:val="none"/>
        </w:rPr>
      </w:r>
      <w:r/>
    </w:p>
    <w:p>
      <w:pPr>
        <w:pStyle w:val="1007"/>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0" w:name="_Toc127151518"/>
      <w:r/>
      <w:bookmarkStart w:id="91" w:name="_Toc520356143"/>
      <w:r>
        <w:rPr>
          <w:rFonts w:ascii="Times New Roman" w:hAnsi="Times New Roman" w:eastAsia="宋体"/>
          <w:color w:val="000000"/>
          <w:sz w:val="28"/>
          <w:highlight w:val="none"/>
        </w:rPr>
        <w:tab/>
      </w:r>
      <w:bookmarkStart w:id="92" w:name="_Toc151193616"/>
      <w:r/>
      <w:bookmarkStart w:id="93" w:name="_Toc150509269"/>
      <w:r/>
      <w:bookmarkStart w:id="94" w:name="_Toc226337214"/>
      <w:r/>
      <w:bookmarkStart w:id="95" w:name="_Toc151193832"/>
      <w:r/>
      <w:bookmarkStart w:id="96" w:name="_Toc226965791"/>
      <w:r/>
      <w:bookmarkStart w:id="97" w:name="_Toc150480756"/>
      <w:r/>
      <w:bookmarkStart w:id="98" w:name="_Toc151193760"/>
      <w:r/>
      <w:bookmarkStart w:id="99" w:name="_Toc265228356"/>
      <w:r/>
      <w:bookmarkStart w:id="100" w:name="_Toc226965708"/>
      <w:r/>
      <w:bookmarkStart w:id="101" w:name="_Toc151190145"/>
      <w:r/>
      <w:bookmarkStart w:id="102" w:name="_Toc142311020"/>
      <w:r/>
      <w:bookmarkStart w:id="103" w:name="_Toc226309762"/>
      <w:r/>
      <w:bookmarkStart w:id="104" w:name="_Toc150774723"/>
      <w:r/>
      <w:bookmarkStart w:id="105" w:name="_Toc151193688"/>
      <w:r/>
      <w:bookmarkStart w:id="106" w:name="_Toc305158786"/>
      <w:r/>
      <w:bookmarkStart w:id="107" w:name="_Toc305158860"/>
      <w:r/>
      <w:bookmarkStart w:id="108" w:name="_Toc264969208"/>
      <w:r/>
      <w:bookmarkStart w:id="109" w:name="_Toc151193906"/>
      <w:r/>
      <w:bookmarkStart w:id="110" w:name="_Toc195842883"/>
      <w:r/>
      <w:bookmarkStart w:id="111" w:name="_Toc150774618"/>
      <w:r>
        <w:rPr>
          <w:rFonts w:ascii="Times New Roman" w:hAnsi="Times New Roman" w:eastAsia="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ascii="Times New Roman" w:hAnsi="Times New Roman" w:eastAsia="宋体"/>
          <w:color w:val="000000"/>
          <w:sz w:val="28"/>
          <w:highlight w:val="none"/>
        </w:rPr>
      </w:r>
      <w:r/>
    </w:p>
    <w:p>
      <w:pPr>
        <w:pStyle w:val="1005"/>
        <w:numPr>
          <w:ilvl w:val="0"/>
          <w:numId w:val="10"/>
        </w:numPr>
        <w:ind w:left="357" w:hanging="357"/>
        <w:spacing w:line="360" w:lineRule="auto"/>
        <w:tabs>
          <w:tab w:val="left" w:pos="360" w:leader="none"/>
        </w:tabs>
        <w:rPr>
          <w:color w:val="000000"/>
          <w:sz w:val="24"/>
          <w:highlight w:val="none"/>
        </w:rPr>
        <w:outlineLvl w:val="1"/>
      </w:pPr>
      <w:r/>
      <w:bookmarkStart w:id="112" w:name="_Toc265228357"/>
      <w:r/>
      <w:bookmarkStart w:id="113" w:name="_Toc264969209"/>
      <w:r/>
      <w:bookmarkStart w:id="114" w:name="_Toc305158861"/>
      <w:r/>
      <w:bookmarkStart w:id="115" w:name="_Toc305158787"/>
      <w:r>
        <w:rPr>
          <w:color w:val="000000"/>
          <w:sz w:val="24"/>
          <w:highlight w:val="none"/>
        </w:rPr>
        <w:t xml:space="preserve">招标人、招标代理机构、投标人</w:t>
      </w:r>
      <w:bookmarkEnd w:id="112"/>
      <w:r/>
      <w:bookmarkEnd w:id="113"/>
      <w:r/>
      <w:bookmarkEnd w:id="114"/>
      <w:r/>
      <w:bookmarkEnd w:id="115"/>
      <w:r>
        <w:rPr>
          <w:rFonts w:hint="eastAsia"/>
          <w:color w:val="000000"/>
          <w:sz w:val="24"/>
          <w:highlight w:val="none"/>
        </w:rPr>
        <w:t xml:space="preserve">、联合体</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招标人、招标代理机构：指依法进行政府采购的国家机关、事业单位、团体组织，及其委托的招标代理机构。本项目招标人、招标代理机构见第一章《投标邀请》。</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lang w:eastAsia="zh-CN"/>
        </w:rPr>
        <w:t xml:space="preserve">“</w:t>
      </w:r>
      <w:r>
        <w:rPr>
          <w:rFonts w:hint="eastAsia"/>
          <w:color w:val="000000"/>
          <w:sz w:val="24"/>
          <w:highlight w:val="none"/>
        </w:rPr>
        <w:t xml:space="preserve">供应商</w:t>
      </w:r>
      <w:r>
        <w:rPr>
          <w:rFonts w:hint="eastAsia"/>
          <w:color w:val="000000"/>
          <w:sz w:val="24"/>
          <w:highlight w:val="none"/>
          <w:lang w:eastAsia="zh-CN"/>
        </w:rPr>
        <w:t xml:space="preserve">”</w:t>
      </w:r>
      <w:r>
        <w:rPr>
          <w:rFonts w:hint="eastAsia"/>
          <w:color w:val="000000"/>
          <w:sz w:val="24"/>
          <w:highlight w:val="none"/>
        </w:rPr>
        <w:t xml:space="preserve">、</w:t>
      </w:r>
      <w:r>
        <w:rPr>
          <w:rFonts w:hint="eastAsia"/>
          <w:color w:val="000000"/>
          <w:sz w:val="24"/>
          <w:highlight w:val="none"/>
          <w:lang w:eastAsia="zh-CN"/>
        </w:rPr>
        <w:t xml:space="preserve">“</w:t>
      </w:r>
      <w:r>
        <w:rPr>
          <w:color w:val="000000"/>
          <w:sz w:val="24"/>
          <w:highlight w:val="none"/>
        </w:rPr>
        <w:t xml:space="preserve">申请人</w:t>
      </w:r>
      <w:r>
        <w:rPr>
          <w:rFonts w:hint="eastAsia"/>
          <w:color w:val="000000"/>
          <w:sz w:val="24"/>
          <w:highlight w:val="none"/>
          <w:lang w:eastAsia="zh-CN"/>
        </w:rPr>
        <w:t xml:space="preserve">”</w:t>
      </w:r>
      <w:r>
        <w:rPr>
          <w:color w:val="000000"/>
          <w:sz w:val="24"/>
          <w:highlight w:val="none"/>
        </w:rPr>
        <w:t xml:space="preserve">）：指向招标人提供货物、工程或者服务的法人、其他组织或者自然人。</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1005"/>
        <w:numPr>
          <w:ilvl w:val="0"/>
          <w:numId w:val="10"/>
        </w:numPr>
        <w:ind w:left="357" w:hanging="357"/>
        <w:spacing w:line="360" w:lineRule="auto"/>
        <w:tabs>
          <w:tab w:val="left" w:pos="360" w:leader="none"/>
        </w:tabs>
        <w:rPr>
          <w:color w:val="000000"/>
          <w:sz w:val="24"/>
          <w:highlight w:val="none"/>
        </w:rPr>
        <w:outlineLvl w:val="1"/>
      </w:pPr>
      <w:r/>
      <w:bookmarkStart w:id="116" w:name="_Toc150774620"/>
      <w:r/>
      <w:bookmarkStart w:id="117" w:name="_Toc151193690"/>
      <w:r/>
      <w:bookmarkStart w:id="118" w:name="_Toc151193908"/>
      <w:r/>
      <w:bookmarkStart w:id="119" w:name="_Toc264969210"/>
      <w:r/>
      <w:bookmarkStart w:id="120" w:name="_Toc149720813"/>
      <w:r/>
      <w:bookmarkStart w:id="121" w:name="_Toc305158862"/>
      <w:r/>
      <w:bookmarkStart w:id="122" w:name="_Toc164229215"/>
      <w:r/>
      <w:bookmarkStart w:id="123" w:name="_Toc151193762"/>
      <w:r/>
      <w:bookmarkStart w:id="124" w:name="_Toc150480758"/>
      <w:r/>
      <w:bookmarkStart w:id="125" w:name="_Toc226337216"/>
      <w:r/>
      <w:bookmarkStart w:id="126" w:name="_Toc151193618"/>
      <w:r/>
      <w:bookmarkStart w:id="127" w:name="_Toc150774725"/>
      <w:r/>
      <w:bookmarkStart w:id="128" w:name="_Toc226965710"/>
      <w:r/>
      <w:bookmarkStart w:id="129" w:name="_Toc265228358"/>
      <w:r/>
      <w:bookmarkStart w:id="130" w:name="_Toc150509271"/>
      <w:r/>
      <w:bookmarkStart w:id="131" w:name="_Toc127161434"/>
      <w:r/>
      <w:bookmarkStart w:id="132" w:name="_Toc195842885"/>
      <w:r/>
      <w:bookmarkStart w:id="133" w:name="_Toc164608634"/>
      <w:r/>
      <w:bookmarkStart w:id="134" w:name="_Toc164229361"/>
      <w:r/>
      <w:bookmarkStart w:id="135" w:name="_Toc151193834"/>
      <w:r/>
      <w:bookmarkStart w:id="136" w:name="_Toc226965793"/>
      <w:r/>
      <w:bookmarkStart w:id="137" w:name="_Toc226309764"/>
      <w:r/>
      <w:bookmarkStart w:id="138" w:name="_Toc127151721"/>
      <w:r/>
      <w:bookmarkStart w:id="139" w:name="_Toc142311022"/>
      <w:r/>
      <w:bookmarkStart w:id="140" w:name="_Toc151190147"/>
      <w:r/>
      <w:bookmarkStart w:id="141" w:name="_Toc127151520"/>
      <w:r/>
      <w:bookmarkStart w:id="142" w:name="_Toc305158788"/>
      <w:r/>
      <w:bookmarkStart w:id="143" w:name="_Toc164608789"/>
      <w:r/>
      <w:bookmarkStart w:id="144" w:name="_Toc164351614"/>
      <w:r>
        <w:rPr>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color w:val="000000"/>
          <w:sz w:val="24"/>
          <w:highlight w:val="none"/>
        </w:rPr>
        <w:t xml:space="preserve">、项目属性、科研仪器设备采购、核心产品</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45" w:name="_Toc151193764"/>
      <w:r/>
      <w:bookmarkStart w:id="146" w:name="_Toc151190149"/>
      <w:r/>
      <w:bookmarkStart w:id="147" w:name="_Toc151193692"/>
      <w:r/>
      <w:bookmarkStart w:id="148" w:name="_Toc150480760"/>
      <w:r/>
      <w:bookmarkStart w:id="149" w:name="_Toc150774622"/>
      <w:r/>
      <w:bookmarkStart w:id="150" w:name="_Toc226965795"/>
      <w:r/>
      <w:bookmarkStart w:id="151" w:name="_Toc264969212"/>
      <w:r/>
      <w:bookmarkStart w:id="152" w:name="_Toc127151522"/>
      <w:r/>
      <w:bookmarkStart w:id="153" w:name="_Toc520356146"/>
      <w:r/>
      <w:bookmarkStart w:id="154" w:name="_Toc150774727"/>
      <w:r/>
      <w:bookmarkStart w:id="155" w:name="_Toc151193620"/>
      <w:r/>
      <w:bookmarkStart w:id="156" w:name="_Toc305158790"/>
      <w:r/>
      <w:bookmarkStart w:id="157" w:name="_Toc150509273"/>
      <w:r/>
      <w:bookmarkStart w:id="158" w:name="_Toc226309766"/>
      <w:r/>
      <w:bookmarkStart w:id="159" w:name="_Toc305158864"/>
      <w:r/>
      <w:bookmarkStart w:id="160" w:name="_Toc226965712"/>
      <w:r/>
      <w:bookmarkStart w:id="161" w:name="_Toc151193910"/>
      <w:r/>
      <w:bookmarkStart w:id="162" w:name="_Toc195842887"/>
      <w:r/>
      <w:bookmarkStart w:id="163" w:name="_Toc265228360"/>
      <w:r/>
      <w:bookmarkStart w:id="164" w:name="_Toc151193836"/>
      <w:r/>
      <w:bookmarkStart w:id="165" w:name="_Toc226337218"/>
      <w:r/>
      <w:bookmarkStart w:id="166" w:name="_Toc142311024"/>
      <w:r>
        <w:rPr>
          <w:color w:val="000000"/>
          <w:sz w:val="28"/>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1005"/>
        <w:numPr>
          <w:ilvl w:val="0"/>
          <w:numId w:val="10"/>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1005"/>
        <w:numPr>
          <w:ilvl w:val="2"/>
          <w:numId w:val="10"/>
        </w:numPr>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p>
    <w:p>
      <w:pPr>
        <w:pStyle w:val="1005"/>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1005"/>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1005"/>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1005"/>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1005"/>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1005"/>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1005"/>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1005"/>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1005"/>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依法与安置的每位残疾人签订了一年以上（含一年）的劳动合同或服务协议；</w:t>
      </w:r>
      <w:r>
        <w:rPr>
          <w:color w:val="000000"/>
          <w:sz w:val="24"/>
          <w:highlight w:val="none"/>
        </w:rPr>
      </w:r>
      <w:r/>
    </w:p>
    <w:p>
      <w:pPr>
        <w:pStyle w:val="1005"/>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1005"/>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1005"/>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1005"/>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小微企业价格评审优惠的政策调整：见第四章《评标方法和评标标准》。</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招标人拟采购的产品属于品目清单范围的，招标人及其委托的招标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5"/>
        <w:numPr>
          <w:ilvl w:val="2"/>
          <w:numId w:val="10"/>
        </w:numPr>
        <w:spacing w:line="360" w:lineRule="auto"/>
        <w:tabs>
          <w:tab w:val="left" w:pos="1980"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1005"/>
        <w:numPr>
          <w:ilvl w:val="2"/>
          <w:numId w:val="10"/>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1005"/>
        <w:numPr>
          <w:ilvl w:val="2"/>
          <w:numId w:val="10"/>
        </w:numPr>
        <w:spacing w:line="360" w:lineRule="auto"/>
        <w:tabs>
          <w:tab w:val="left" w:pos="1980"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w:t>
      </w:r>
      <w:r>
        <w:rPr>
          <w:rFonts w:hint="eastAsia"/>
          <w:color w:val="000000"/>
          <w:sz w:val="24"/>
          <w:highlight w:val="none"/>
          <w:lang w:eastAsia="zh-CN"/>
        </w:rPr>
        <w:t xml:space="preserve">“</w:t>
      </w:r>
      <w:r>
        <w:rPr>
          <w:color w:val="000000"/>
          <w:sz w:val="24"/>
          <w:highlight w:val="none"/>
        </w:rPr>
        <w:t xml:space="preserve">无线局域网认证产品政府采购清单</w:t>
      </w:r>
      <w:r>
        <w:rPr>
          <w:rFonts w:hint="eastAsia"/>
          <w:color w:val="000000"/>
          <w:sz w:val="24"/>
          <w:highlight w:val="none"/>
          <w:lang w:eastAsia="zh-CN"/>
        </w:rPr>
        <w:t xml:space="preserve">”</w:t>
      </w:r>
      <w:r>
        <w:rPr>
          <w:color w:val="000000"/>
          <w:sz w:val="24"/>
          <w:highlight w:val="none"/>
        </w:rPr>
        <w:t xml:space="preserve">（以下简称清单）的形式公布。清单中新增认证产品厂商和型号，由财政部、国家发展改革委、信息产业部以文件形式确定、公布并适时调整。</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1005"/>
        <w:numPr>
          <w:ilvl w:val="2"/>
          <w:numId w:val="10"/>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招标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绿色采购政策</w:t>
      </w:r>
      <w:r>
        <w:rPr>
          <w:color w:val="000000"/>
          <w:sz w:val="24"/>
          <w:highlight w:val="none"/>
        </w:rPr>
      </w:r>
      <w:r/>
    </w:p>
    <w:p>
      <w:pPr>
        <w:pStyle w:val="1005"/>
        <w:ind w:left="1080"/>
        <w:spacing w:line="360" w:lineRule="auto"/>
        <w:tabs>
          <w:tab w:val="left" w:pos="2014" w:leader="none"/>
        </w:tabs>
        <w:rPr>
          <w:b/>
          <w:color w:val="000000"/>
          <w:sz w:val="24"/>
          <w:highlight w:val="none"/>
        </w:rPr>
      </w:pPr>
      <w:r>
        <w:rPr>
          <w:rFonts w:hint="eastAsia"/>
          <w:color w:val="000000"/>
          <w:sz w:val="24"/>
          <w:highlight w:val="none"/>
        </w:rPr>
        <w:t xml:space="preserve">5</w:t>
      </w:r>
      <w:r>
        <w:rPr>
          <w:color w:val="000000"/>
          <w:sz w:val="24"/>
          <w:highlight w:val="none"/>
        </w:rPr>
        <w:t xml:space="preserve">.</w:t>
      </w:r>
      <w:r>
        <w:rPr>
          <w:rFonts w:hint="eastAsia"/>
          <w:color w:val="000000"/>
          <w:sz w:val="24"/>
          <w:highlight w:val="none"/>
        </w:rPr>
        <w:t xml:space="preserve">7</w:t>
      </w:r>
      <w:r>
        <w:rPr>
          <w:color w:val="000000"/>
          <w:sz w:val="24"/>
          <w:highlight w:val="none"/>
        </w:rPr>
        <w:t xml:space="preserve">.1   </w:t>
      </w:r>
      <w:r>
        <w:rPr>
          <w:b/>
          <w:color w:val="000000"/>
          <w:sz w:val="24"/>
          <w:highlight w:val="none"/>
        </w:rPr>
        <w:t xml:space="preserve">绿色数据中心政策</w:t>
      </w:r>
      <w:r>
        <w:rPr>
          <w:b/>
          <w:color w:val="000000"/>
          <w:sz w:val="24"/>
          <w:highlight w:val="none"/>
        </w:rPr>
      </w:r>
      <w:r/>
    </w:p>
    <w:p>
      <w:pPr>
        <w:pStyle w:val="1005"/>
        <w:ind w:left="1080"/>
        <w:spacing w:line="360" w:lineRule="auto"/>
        <w:tabs>
          <w:tab w:val="left" w:pos="2014" w:leader="none"/>
        </w:tabs>
        <w:rPr>
          <w:color w:val="000000"/>
          <w:sz w:val="24"/>
          <w:highlight w:val="none"/>
        </w:rPr>
      </w:pPr>
      <w:r>
        <w:rPr>
          <w:color w:val="000000"/>
          <w:sz w:val="24"/>
          <w:highlight w:val="none"/>
        </w:rPr>
        <w:t xml:space="preserve">依据《绿色数据中心政府采购需求标准（试行）》（财办库〔2023〕7 号）文件精神，</w:t>
      </w:r>
      <w:r>
        <w:rPr>
          <w:rFonts w:hint="eastAsia"/>
          <w:color w:val="000000"/>
          <w:sz w:val="24"/>
          <w:highlight w:val="none"/>
        </w:rPr>
        <w:t xml:space="preserve">招标人</w:t>
      </w:r>
      <w:r>
        <w:rPr>
          <w:color w:val="000000"/>
          <w:sz w:val="24"/>
          <w:highlight w:val="none"/>
        </w:rPr>
        <w:t xml:space="preserve">在采购数据中心相关设备、运维服务，应当有利于节约能源、环境保护和资源循环利用，按照《需求标准》实施相关采购活动。</w:t>
      </w:r>
      <w:r>
        <w:rPr>
          <w:rFonts w:hint="eastAsia"/>
          <w:color w:val="000000"/>
          <w:sz w:val="24"/>
          <w:highlight w:val="none"/>
        </w:rPr>
        <w:t xml:space="preserve">招标人</w:t>
      </w:r>
      <w:r>
        <w:rPr>
          <w:color w:val="000000"/>
          <w:sz w:val="24"/>
          <w:highlight w:val="none"/>
        </w:rPr>
        <w:t xml:space="preserve">应当加强采购需求管理，根据《需求标准》提出的指标编制数据中心相关设备、运维服务政府采购项目的采购文件，并在合同中明确对相关指标的验收方式和违约责任。</w:t>
      </w:r>
      <w:r>
        <w:rPr>
          <w:rFonts w:hint="eastAsia"/>
          <w:color w:val="000000"/>
          <w:sz w:val="24"/>
          <w:highlight w:val="none"/>
        </w:rPr>
        <w:t xml:space="preserve">招标人</w:t>
      </w:r>
      <w:r>
        <w:rPr>
          <w:color w:val="000000"/>
          <w:sz w:val="24"/>
          <w:highlight w:val="none"/>
        </w:rPr>
        <w:t xml:space="preserve">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sz w:val="24"/>
          <w:highlight w:val="none"/>
        </w:rPr>
      </w:r>
      <w:r/>
    </w:p>
    <w:p>
      <w:pPr>
        <w:pStyle w:val="1005"/>
        <w:ind w:left="1080"/>
        <w:spacing w:line="360" w:lineRule="auto"/>
        <w:tabs>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w:t>
      </w:r>
      <w:r>
        <w:rPr>
          <w:rFonts w:hint="eastAsia"/>
          <w:color w:val="000000"/>
          <w:sz w:val="24"/>
          <w:highlight w:val="none"/>
        </w:rPr>
        <w:t xml:space="preserve">7</w:t>
      </w:r>
      <w:r>
        <w:rPr>
          <w:color w:val="000000"/>
          <w:sz w:val="24"/>
          <w:highlight w:val="none"/>
        </w:rPr>
        <w:t xml:space="preserve">.2   推广应用绿色建材</w:t>
      </w:r>
      <w:r>
        <w:rPr>
          <w:color w:val="000000"/>
          <w:sz w:val="24"/>
          <w:highlight w:val="none"/>
        </w:rPr>
      </w:r>
      <w:r/>
    </w:p>
    <w:p>
      <w:pPr>
        <w:pStyle w:val="1005"/>
        <w:ind w:left="1080"/>
        <w:spacing w:line="360" w:lineRule="auto"/>
        <w:tabs>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color w:val="000000"/>
          <w:sz w:val="24"/>
          <w:highlight w:val="none"/>
        </w:rPr>
        <w:t xml:space="preserve">，</w:t>
      </w:r>
      <w:r>
        <w:rPr>
          <w:color w:val="000000"/>
          <w:sz w:val="24"/>
          <w:highlight w:val="none"/>
        </w:rPr>
        <w:t xml:space="preserve">依据相关需求标准确定采购需求，在采购文件和采购合同中载明具体需求、履约验收条款和违约责任。</w:t>
      </w:r>
      <w:r>
        <w:rPr>
          <w:color w:val="000000"/>
          <w:sz w:val="24"/>
          <w:highlight w:val="none"/>
        </w:rPr>
      </w:r>
      <w:r/>
    </w:p>
    <w:p>
      <w:pPr>
        <w:pStyle w:val="1005"/>
        <w:ind w:left="1080"/>
        <w:spacing w:line="360" w:lineRule="auto"/>
        <w:tabs>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w:t>
      </w:r>
      <w:r>
        <w:rPr>
          <w:rFonts w:hint="eastAsia"/>
          <w:color w:val="000000"/>
          <w:sz w:val="24"/>
          <w:highlight w:val="none"/>
        </w:rPr>
        <w:t xml:space="preserve">7</w:t>
      </w:r>
      <w:r>
        <w:rPr>
          <w:color w:val="000000"/>
          <w:sz w:val="24"/>
          <w:highlight w:val="none"/>
        </w:rPr>
        <w:t xml:space="preserve">.3   优先使用低挥发性有机化合物产品</w:t>
      </w:r>
      <w:r>
        <w:rPr>
          <w:color w:val="000000"/>
          <w:sz w:val="24"/>
          <w:highlight w:val="none"/>
        </w:rPr>
      </w:r>
      <w:r/>
    </w:p>
    <w:p>
      <w:pPr>
        <w:pStyle w:val="1005"/>
        <w:ind w:left="1080"/>
        <w:spacing w:line="360" w:lineRule="auto"/>
        <w:tabs>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sz w:val="24"/>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投标人应自行承担所有与准备和参加投标有关的费用，无论投标的结果如何，招标人或招标代理机构在任何情况下均无承担这些费用的义务和责任。</w:t>
      </w:r>
      <w:r>
        <w:rPr>
          <w:color w:val="000000"/>
          <w:sz w:val="24"/>
          <w:highlight w:val="none"/>
        </w:rPr>
      </w:r>
      <w:r/>
    </w:p>
    <w:p>
      <w:pPr>
        <w:pStyle w:val="1007"/>
        <w:spacing w:before="0" w:line="360" w:lineRule="auto"/>
        <w:rPr>
          <w:rFonts w:ascii="Times New Roman" w:hAnsi="Times New Roman" w:eastAsia="宋体"/>
          <w:color w:val="000000"/>
          <w:sz w:val="28"/>
          <w:highlight w:val="none"/>
        </w:rPr>
      </w:pPr>
      <w:r/>
      <w:bookmarkStart w:id="167" w:name="_1.8_计量单位"/>
      <w:r/>
      <w:bookmarkEnd w:id="167"/>
      <w:r>
        <w:rPr>
          <w:rFonts w:ascii="Times New Roman" w:hAnsi="Times New Roman" w:eastAsia="宋体"/>
          <w:color w:val="000000"/>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Times New Roman" w:hAnsi="Times New Roman" w:eastAsia="宋体"/>
          <w:color w:val="000000"/>
          <w:sz w:val="28"/>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bookmarkStart w:id="168" w:name="_Toc127161437"/>
      <w:r/>
      <w:bookmarkStart w:id="169" w:name="_Toc149720816"/>
      <w:r/>
      <w:bookmarkStart w:id="170" w:name="_Toc164229364"/>
      <w:r/>
      <w:bookmarkStart w:id="171" w:name="_Toc195842888"/>
      <w:r/>
      <w:bookmarkStart w:id="172" w:name="_Toc264969213"/>
      <w:r/>
      <w:bookmarkStart w:id="173" w:name="_Toc151193693"/>
      <w:r/>
      <w:bookmarkStart w:id="174" w:name="_Toc164608637"/>
      <w:r/>
      <w:bookmarkStart w:id="175" w:name="_Toc127151724"/>
      <w:r/>
      <w:bookmarkStart w:id="176" w:name="_Toc164351617"/>
      <w:r/>
      <w:bookmarkStart w:id="177" w:name="_Toc151193837"/>
      <w:r/>
      <w:bookmarkStart w:id="178" w:name="_Toc151193621"/>
      <w:r/>
      <w:bookmarkStart w:id="179" w:name="_Toc226965713"/>
      <w:r/>
      <w:bookmarkStart w:id="180" w:name="_Toc226965796"/>
      <w:r/>
      <w:bookmarkStart w:id="181" w:name="_Toc164229218"/>
      <w:r/>
      <w:bookmarkStart w:id="182" w:name="_Toc150480761"/>
      <w:r/>
      <w:bookmarkStart w:id="183" w:name="_Toc151190150"/>
      <w:r/>
      <w:bookmarkStart w:id="184" w:name="_Toc150774728"/>
      <w:r/>
      <w:bookmarkStart w:id="185" w:name="_Toc150774623"/>
      <w:r/>
      <w:bookmarkStart w:id="186" w:name="_Toc150509274"/>
      <w:r/>
      <w:bookmarkStart w:id="187" w:name="_Toc305158865"/>
      <w:r/>
      <w:bookmarkStart w:id="188" w:name="_Toc226337219"/>
      <w:r/>
      <w:bookmarkStart w:id="189" w:name="_Toc520356147"/>
      <w:r/>
      <w:bookmarkStart w:id="190" w:name="_Toc226309767"/>
      <w:r/>
      <w:bookmarkStart w:id="191" w:name="_Toc164608792"/>
      <w:r/>
      <w:bookmarkStart w:id="192" w:name="_Toc151193765"/>
      <w:r/>
      <w:bookmarkStart w:id="193" w:name="_Toc127151523"/>
      <w:r/>
      <w:bookmarkStart w:id="194" w:name="_Toc305158791"/>
      <w:r/>
      <w:bookmarkStart w:id="195" w:name="_Toc151193911"/>
      <w:r/>
      <w:bookmarkStart w:id="196" w:name="_Toc265228361"/>
      <w:r/>
      <w:bookmarkStart w:id="197" w:name="_Toc142311025"/>
      <w:r>
        <w:rPr>
          <w:color w:val="000000"/>
          <w:sz w:val="24"/>
          <w:highlight w:val="none"/>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color w:val="000000"/>
          <w:sz w:val="24"/>
          <w:highlight w:val="none"/>
        </w:rPr>
        <w:t xml:space="preserve">成</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1005"/>
        <w:numPr>
          <w:ilvl w:val="0"/>
          <w:numId w:val="12"/>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1005"/>
        <w:numPr>
          <w:ilvl w:val="0"/>
          <w:numId w:val="12"/>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1005"/>
        <w:numPr>
          <w:ilvl w:val="0"/>
          <w:numId w:val="12"/>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1005"/>
        <w:numPr>
          <w:ilvl w:val="0"/>
          <w:numId w:val="12"/>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1005"/>
        <w:numPr>
          <w:ilvl w:val="0"/>
          <w:numId w:val="12"/>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1005"/>
        <w:numPr>
          <w:ilvl w:val="0"/>
          <w:numId w:val="12"/>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1005"/>
        <w:numPr>
          <w:ilvl w:val="0"/>
          <w:numId w:val="12"/>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5"/>
        <w:numPr>
          <w:ilvl w:val="0"/>
          <w:numId w:val="10"/>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1005"/>
        <w:numPr>
          <w:ilvl w:val="1"/>
          <w:numId w:val="10"/>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招标人或招标代理机构对已发出的招标文件进行必要澄清或者修改的，将在原公告发布媒体上以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1005"/>
        <w:numPr>
          <w:ilvl w:val="1"/>
          <w:numId w:val="10"/>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1005"/>
        <w:ind w:left="1080"/>
        <w:spacing w:line="360" w:lineRule="auto"/>
        <w:tabs>
          <w:tab w:val="left" w:pos="1080" w:leader="none"/>
          <w:tab w:val="left" w:pos="1561" w:leader="none"/>
        </w:tabs>
        <w:rPr>
          <w:color w:val="000000"/>
          <w:sz w:val="28"/>
          <w:highlight w:val="none"/>
        </w:rPr>
      </w:pPr>
      <w:r/>
      <w:bookmarkStart w:id="198" w:name="_Toc151190153"/>
      <w:r/>
      <w:bookmarkStart w:id="199" w:name="_Toc265228364"/>
      <w:r/>
      <w:bookmarkStart w:id="200" w:name="_Toc151193624"/>
      <w:r/>
      <w:bookmarkStart w:id="201" w:name="_Toc150774626"/>
      <w:r/>
      <w:bookmarkStart w:id="202" w:name="_Toc150774731"/>
      <w:r/>
      <w:bookmarkStart w:id="203" w:name="_Toc195842891"/>
      <w:r/>
      <w:bookmarkStart w:id="204" w:name="_Toc151193768"/>
      <w:r/>
      <w:bookmarkStart w:id="205" w:name="_Toc226337222"/>
      <w:r/>
      <w:bookmarkStart w:id="206" w:name="_Toc127151526"/>
      <w:r/>
      <w:bookmarkStart w:id="207" w:name="_Toc150480764"/>
      <w:r/>
      <w:bookmarkStart w:id="208" w:name="_Toc151193696"/>
      <w:r/>
      <w:bookmarkStart w:id="209" w:name="_Toc226309770"/>
      <w:r/>
      <w:bookmarkStart w:id="210" w:name="_Toc142311028"/>
      <w:r/>
      <w:bookmarkStart w:id="211" w:name="_Toc516367020"/>
      <w:r/>
      <w:bookmarkStart w:id="212" w:name="_Toc305158794"/>
      <w:r/>
      <w:bookmarkStart w:id="213" w:name="_Toc150509277"/>
      <w:r/>
      <w:bookmarkStart w:id="214" w:name="_Toc151193914"/>
      <w:r/>
      <w:bookmarkStart w:id="215" w:name="_Toc264969216"/>
      <w:r/>
      <w:bookmarkStart w:id="216" w:name="_Toc151193840"/>
      <w:r/>
      <w:bookmarkStart w:id="217" w:name="_Toc226965799"/>
      <w:r/>
      <w:bookmarkStart w:id="218" w:name="_Toc520356150"/>
      <w:r/>
      <w:bookmarkStart w:id="219" w:name="_Toc305158868"/>
      <w:r/>
      <w:bookmarkStart w:id="220" w:name="_Toc226965716"/>
      <w:r>
        <w:rPr>
          <w:color w:val="000000"/>
          <w:sz w:val="28"/>
          <w:highlight w:val="none"/>
        </w:rPr>
      </w:r>
      <w:r/>
    </w:p>
    <w:p>
      <w:pPr>
        <w:pStyle w:val="100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211"/>
      <w:r>
        <w:rPr>
          <w:rFonts w:ascii="Times New Roman" w:hAnsi="Times New Roman" w:eastAsia="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ascii="Times New Roman" w:hAnsi="Times New Roman" w:eastAsia="宋体"/>
          <w:color w:val="000000"/>
          <w:sz w:val="28"/>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bookmarkStart w:id="221" w:name="_Toc226337223"/>
      <w:r/>
      <w:bookmarkStart w:id="222" w:name="_Toc127161441"/>
      <w:r/>
      <w:bookmarkStart w:id="223" w:name="_Toc164229222"/>
      <w:r/>
      <w:bookmarkStart w:id="224" w:name="_Toc150774732"/>
      <w:r/>
      <w:bookmarkStart w:id="225" w:name="_Toc151193625"/>
      <w:r/>
      <w:bookmarkStart w:id="226" w:name="_Toc265228365"/>
      <w:r/>
      <w:bookmarkStart w:id="227" w:name="_Toc151193841"/>
      <w:r/>
      <w:bookmarkStart w:id="228" w:name="_Toc516367021"/>
      <w:r/>
      <w:bookmarkStart w:id="229" w:name="_Toc127151527"/>
      <w:r/>
      <w:bookmarkStart w:id="230" w:name="_Toc226965800"/>
      <w:r/>
      <w:bookmarkStart w:id="231" w:name="_Toc305158869"/>
      <w:r/>
      <w:bookmarkStart w:id="232" w:name="_Toc150480765"/>
      <w:r/>
      <w:bookmarkStart w:id="233" w:name="_Toc151193697"/>
      <w:r/>
      <w:bookmarkStart w:id="234" w:name="_Toc305158795"/>
      <w:r/>
      <w:bookmarkStart w:id="235" w:name="_Toc142311029"/>
      <w:r/>
      <w:bookmarkStart w:id="236" w:name="_Toc226309771"/>
      <w:r/>
      <w:bookmarkStart w:id="237" w:name="_Toc149720820"/>
      <w:r/>
      <w:bookmarkStart w:id="238" w:name="_Toc151190154"/>
      <w:r/>
      <w:bookmarkStart w:id="239" w:name="_Toc150774627"/>
      <w:r/>
      <w:bookmarkStart w:id="240" w:name="_Toc164351621"/>
      <w:r/>
      <w:bookmarkStart w:id="241" w:name="_Toc264969217"/>
      <w:r/>
      <w:bookmarkStart w:id="242" w:name="_Toc520356151"/>
      <w:r/>
      <w:bookmarkStart w:id="243" w:name="_Toc164608641"/>
      <w:r/>
      <w:bookmarkStart w:id="244" w:name="_Toc164608796"/>
      <w:r/>
      <w:bookmarkStart w:id="245" w:name="_Toc226965717"/>
      <w:r/>
      <w:bookmarkStart w:id="246" w:name="_Toc195842892"/>
      <w:r/>
      <w:bookmarkStart w:id="247" w:name="_Toc151193769"/>
      <w:r/>
      <w:bookmarkStart w:id="248" w:name="_Toc127151728"/>
      <w:r/>
      <w:bookmarkStart w:id="249" w:name="_Toc150509278"/>
      <w:r/>
      <w:bookmarkStart w:id="250" w:name="_Toc151193915"/>
      <w:r/>
      <w:bookmarkStart w:id="251" w:name="_Toc164229368"/>
      <w:r>
        <w:rPr>
          <w:color w:val="000000"/>
          <w:sz w:val="24"/>
          <w:highlight w:val="none"/>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color w:val="000000"/>
          <w:sz w:val="24"/>
          <w:highlight w:val="none"/>
        </w:rPr>
        <w:t xml:space="preserve">及投标语言</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bookmarkStart w:id="252" w:name="_Toc305158870"/>
      <w:r/>
      <w:bookmarkStart w:id="253" w:name="_Toc151193626"/>
      <w:r/>
      <w:bookmarkStart w:id="254" w:name="_Toc151190155"/>
      <w:r/>
      <w:bookmarkStart w:id="255" w:name="_Toc127161442"/>
      <w:r/>
      <w:bookmarkStart w:id="256" w:name="_Toc142311030"/>
      <w:r/>
      <w:bookmarkStart w:id="257" w:name="_Toc150774628"/>
      <w:r/>
      <w:bookmarkStart w:id="258" w:name="_Toc195842893"/>
      <w:r/>
      <w:bookmarkStart w:id="259" w:name="_Ref467306195"/>
      <w:r/>
      <w:bookmarkStart w:id="260" w:name="_Toc516367022"/>
      <w:r/>
      <w:bookmarkStart w:id="261" w:name="_Ref467306676"/>
      <w:r/>
      <w:bookmarkStart w:id="262" w:name="_Toc150774733"/>
      <w:r/>
      <w:bookmarkStart w:id="263" w:name="_Toc150509279"/>
      <w:r/>
      <w:bookmarkStart w:id="264" w:name="_Toc164229369"/>
      <w:r/>
      <w:bookmarkStart w:id="265" w:name="_Toc520356152"/>
      <w:r/>
      <w:bookmarkStart w:id="266" w:name="_Toc149720821"/>
      <w:r/>
      <w:bookmarkStart w:id="267" w:name="_Toc226337224"/>
      <w:r/>
      <w:bookmarkStart w:id="268" w:name="_Toc164608797"/>
      <w:r/>
      <w:bookmarkStart w:id="269" w:name="_Toc150480766"/>
      <w:r/>
      <w:bookmarkStart w:id="270" w:name="_Toc226965801"/>
      <w:r/>
      <w:bookmarkStart w:id="271" w:name="_Toc127151729"/>
      <w:r/>
      <w:bookmarkStart w:id="272" w:name="_Toc151193842"/>
      <w:r/>
      <w:bookmarkStart w:id="273" w:name="_Toc305158796"/>
      <w:r/>
      <w:bookmarkStart w:id="274" w:name="_Toc164351622"/>
      <w:r/>
      <w:bookmarkStart w:id="275" w:name="_Toc226965718"/>
      <w:r/>
      <w:bookmarkStart w:id="276" w:name="_Toc164229223"/>
      <w:r/>
      <w:bookmarkStart w:id="277" w:name="_Toc226309772"/>
      <w:r/>
      <w:bookmarkStart w:id="278" w:name="_Toc265228366"/>
      <w:r/>
      <w:bookmarkStart w:id="279" w:name="_Toc151193698"/>
      <w:r/>
      <w:bookmarkStart w:id="280" w:name="_Toc164608642"/>
      <w:r/>
      <w:bookmarkStart w:id="281" w:name="_Toc151193916"/>
      <w:r/>
      <w:bookmarkStart w:id="282" w:name="_Toc151193770"/>
      <w:r/>
      <w:bookmarkStart w:id="283" w:name="_Toc264969218"/>
      <w:r/>
      <w:bookmarkStart w:id="284" w:name="_Toc127151528"/>
      <w:r>
        <w:rPr>
          <w:color w:val="000000"/>
          <w:sz w:val="24"/>
          <w:highlight w:val="none"/>
        </w:rPr>
        <w:t xml:space="preserve">投标文件</w:t>
      </w:r>
      <w:bookmarkEnd w:id="259"/>
      <w:r/>
      <w:bookmarkEnd w:id="260"/>
      <w:r/>
      <w:bookmarkEnd w:id="261"/>
      <w:r>
        <w:rPr>
          <w:color w:val="000000"/>
          <w:sz w:val="24"/>
          <w:highlight w:val="none"/>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bookmarkStart w:id="285"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对于招标文件中标记了</w:t>
      </w:r>
      <w:r>
        <w:rPr>
          <w:rFonts w:hint="eastAsia"/>
          <w:color w:val="000000"/>
          <w:sz w:val="24"/>
          <w:highlight w:val="none"/>
          <w:lang w:eastAsia="zh-CN"/>
        </w:rPr>
        <w:t xml:space="preserve">“</w:t>
      </w:r>
      <w:r>
        <w:rPr>
          <w:color w:val="000000"/>
          <w:sz w:val="24"/>
          <w:highlight w:val="none"/>
        </w:rPr>
        <w:t xml:space="preserve">实质性格式</w:t>
      </w:r>
      <w:r>
        <w:rPr>
          <w:rFonts w:hint="eastAsia"/>
          <w:color w:val="000000"/>
          <w:sz w:val="24"/>
          <w:highlight w:val="none"/>
          <w:lang w:eastAsia="zh-CN"/>
        </w:rPr>
        <w:t xml:space="preserve">”</w:t>
      </w:r>
      <w:r>
        <w:rPr>
          <w:color w:val="000000"/>
          <w:sz w:val="24"/>
          <w:highlight w:val="none"/>
        </w:rPr>
        <w:t xml:space="preserve">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w:t>
      </w:r>
      <w:r>
        <w:rPr>
          <w:rFonts w:hint="eastAsia"/>
          <w:color w:val="000000"/>
          <w:sz w:val="24"/>
          <w:highlight w:val="none"/>
          <w:lang w:eastAsia="zh-CN"/>
        </w:rPr>
        <w:t xml:space="preserve">“</w:t>
      </w:r>
      <w:r>
        <w:rPr>
          <w:color w:val="000000"/>
          <w:sz w:val="24"/>
          <w:highlight w:val="none"/>
        </w:rPr>
        <w:t xml:space="preserve">实质性格式</w:t>
      </w:r>
      <w:r>
        <w:rPr>
          <w:rFonts w:hint="eastAsia"/>
          <w:color w:val="000000"/>
          <w:sz w:val="24"/>
          <w:highlight w:val="none"/>
          <w:lang w:eastAsia="zh-CN"/>
        </w:rPr>
        <w:t xml:space="preserve">”</w:t>
      </w:r>
      <w:r>
        <w:rPr>
          <w:color w:val="000000"/>
          <w:sz w:val="24"/>
          <w:highlight w:val="none"/>
        </w:rPr>
        <w:t xml:space="preserve">的文件和招标文件未提供格式的内容，可由投标人自行编写。</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投标人认为应附的其他材料。</w:t>
      </w:r>
      <w:bookmarkEnd w:id="285"/>
      <w:r>
        <w:rPr>
          <w:color w:val="000000"/>
          <w:sz w:val="24"/>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bookmarkStart w:id="286" w:name="_Toc151193772"/>
      <w:r/>
      <w:bookmarkStart w:id="287" w:name="_Toc151190157"/>
      <w:r/>
      <w:bookmarkStart w:id="288" w:name="_Toc164608799"/>
      <w:r/>
      <w:bookmarkStart w:id="289" w:name="_Toc151193628"/>
      <w:r/>
      <w:bookmarkStart w:id="290" w:name="_Toc127151530"/>
      <w:r/>
      <w:bookmarkStart w:id="291" w:name="_Toc164351624"/>
      <w:r/>
      <w:bookmarkStart w:id="292" w:name="_Toc195842895"/>
      <w:r/>
      <w:bookmarkStart w:id="293" w:name="_Toc127151731"/>
      <w:r/>
      <w:bookmarkStart w:id="294" w:name="_Toc150480768"/>
      <w:r/>
      <w:bookmarkStart w:id="295" w:name="_Toc520356155"/>
      <w:r/>
      <w:bookmarkStart w:id="296" w:name="_Toc151193700"/>
      <w:r/>
      <w:bookmarkStart w:id="297" w:name="_Toc149720823"/>
      <w:r/>
      <w:bookmarkStart w:id="298" w:name="_Toc151193844"/>
      <w:r/>
      <w:bookmarkStart w:id="299" w:name="_Toc150774630"/>
      <w:r/>
      <w:bookmarkStart w:id="300" w:name="_Toc150774735"/>
      <w:r/>
      <w:bookmarkStart w:id="301" w:name="_Toc142311032"/>
      <w:r/>
      <w:bookmarkStart w:id="302" w:name="_Toc150509281"/>
      <w:r/>
      <w:bookmarkStart w:id="303" w:name="_Toc151193918"/>
      <w:r/>
      <w:bookmarkStart w:id="304" w:name="_Toc164229371"/>
      <w:r/>
      <w:bookmarkStart w:id="305" w:name="_Toc127161444"/>
      <w:r/>
      <w:bookmarkStart w:id="306" w:name="_Toc164608644"/>
      <w:r/>
      <w:bookmarkStart w:id="307" w:name="_Toc164229225"/>
      <w:r>
        <w:rPr>
          <w:color w:val="000000"/>
          <w:sz w:val="24"/>
          <w:highlight w:val="none"/>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rFonts w:hint="eastAsia"/>
          <w:color w:val="000000"/>
          <w:sz w:val="24"/>
          <w:highlight w:val="none"/>
        </w:rPr>
        <w:t xml:space="preserve">报价包括招标文件所确定的招标范围内的全部服务的报价，应包括为完成本项目所需要的全部费用以及投标人企业利润、税金和政策性文件规定及合同包含的所有风险、责任等各项应有费用。</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按照招标文件要求完成本项目的全部相关服务费用。</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招标人不得向</w:t>
      </w:r>
      <w:r>
        <w:rPr>
          <w:rFonts w:hint="eastAsia"/>
          <w:color w:val="000000"/>
          <w:sz w:val="24"/>
          <w:highlight w:val="none"/>
        </w:rPr>
        <w:t xml:space="preserve">投标人</w:t>
      </w:r>
      <w:r>
        <w:rPr>
          <w:color w:val="000000"/>
          <w:sz w:val="24"/>
          <w:highlight w:val="none"/>
        </w:rPr>
        <w:t xml:space="preserve">索要或者接受其给予的赠品、回扣或者与采购无关的其他商品、服务。</w:t>
      </w:r>
      <w:r>
        <w:rPr>
          <w:color w:val="000000"/>
          <w:sz w:val="24"/>
          <w:highlight w:val="none"/>
        </w:rPr>
      </w:r>
      <w:r/>
    </w:p>
    <w:p>
      <w:pPr>
        <w:pStyle w:val="1005"/>
        <w:numPr>
          <w:ilvl w:val="1"/>
          <w:numId w:val="10"/>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5"/>
        <w:numPr>
          <w:ilvl w:val="0"/>
          <w:numId w:val="10"/>
        </w:numPr>
        <w:ind w:left="357" w:hanging="357"/>
        <w:spacing w:line="360" w:lineRule="auto"/>
        <w:tabs>
          <w:tab w:val="left" w:pos="360" w:leader="none"/>
          <w:tab w:val="left" w:pos="900" w:leader="none"/>
        </w:tabs>
        <w:rPr>
          <w:rFonts w:hint="eastAsia"/>
          <w:color w:val="000000"/>
          <w:sz w:val="24"/>
          <w:highlight w:val="none"/>
        </w:rPr>
        <w:outlineLvl w:val="1"/>
      </w:pPr>
      <w:r/>
      <w:bookmarkStart w:id="308" w:name="_Toc195842896"/>
      <w:r/>
      <w:bookmarkStart w:id="309" w:name="_Toc305158799"/>
      <w:r/>
      <w:bookmarkStart w:id="310" w:name="_Toc305158873"/>
      <w:r/>
      <w:bookmarkStart w:id="311" w:name="_Toc150774736"/>
      <w:r/>
      <w:bookmarkStart w:id="312" w:name="_Toc151193701"/>
      <w:r/>
      <w:bookmarkStart w:id="313" w:name="_Toc164229226"/>
      <w:r/>
      <w:bookmarkStart w:id="314" w:name="_Toc151193773"/>
      <w:r/>
      <w:bookmarkStart w:id="315" w:name="_Toc520356156"/>
      <w:r/>
      <w:bookmarkStart w:id="316" w:name="_Toc127151732"/>
      <w:r/>
      <w:bookmarkStart w:id="317" w:name="_Toc164351625"/>
      <w:r/>
      <w:bookmarkStart w:id="318" w:name="_Toc151193919"/>
      <w:r/>
      <w:bookmarkStart w:id="319" w:name="_Toc265228369"/>
      <w:r/>
      <w:bookmarkStart w:id="320" w:name="_Ref467306513"/>
      <w:r/>
      <w:bookmarkStart w:id="321" w:name="_Toc150774631"/>
      <w:r/>
      <w:bookmarkStart w:id="322" w:name="_Toc150509282"/>
      <w:r/>
      <w:bookmarkStart w:id="323" w:name="_Toc127151531"/>
      <w:r/>
      <w:bookmarkStart w:id="324" w:name="_Toc149720824"/>
      <w:r/>
      <w:bookmarkStart w:id="325" w:name="_Toc264969221"/>
      <w:r/>
      <w:bookmarkStart w:id="326" w:name="_Toc226309775"/>
      <w:r/>
      <w:bookmarkStart w:id="327" w:name="_Toc151193629"/>
      <w:r/>
      <w:bookmarkStart w:id="328" w:name="_Toc150480769"/>
      <w:r/>
      <w:bookmarkStart w:id="329" w:name="_Toc151190158"/>
      <w:r/>
      <w:bookmarkStart w:id="330" w:name="_Toc226965804"/>
      <w:r/>
      <w:bookmarkStart w:id="331" w:name="_Toc164608800"/>
      <w:r/>
      <w:bookmarkStart w:id="332" w:name="_Toc226965721"/>
      <w:r/>
      <w:bookmarkStart w:id="333" w:name="_Toc142311033"/>
      <w:r/>
      <w:bookmarkStart w:id="334" w:name="_Toc164608645"/>
      <w:r/>
      <w:bookmarkStart w:id="335" w:name="_Toc127161445"/>
      <w:r/>
      <w:bookmarkStart w:id="336" w:name="_Toc151193845"/>
      <w:r/>
      <w:bookmarkStart w:id="337" w:name="_Toc164229372"/>
      <w:r/>
      <w:bookmarkStart w:id="338" w:name="_Toc226337227"/>
      <w:r>
        <w:rPr>
          <w:color w:val="000000"/>
          <w:sz w:val="24"/>
          <w:highlight w:val="none"/>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color w:val="000000"/>
          <w:sz w:val="24"/>
          <w:highlight w:val="none"/>
        </w:rPr>
      </w:r>
      <w:r/>
    </w:p>
    <w:p>
      <w:pPr>
        <w:pStyle w:val="1005"/>
        <w:ind w:left="357"/>
        <w:spacing w:line="360" w:lineRule="auto"/>
        <w:tabs>
          <w:tab w:val="left" w:pos="360" w:leader="none"/>
        </w:tabs>
        <w:rPr>
          <w:color w:val="000000"/>
          <w:sz w:val="24"/>
          <w:highlight w:val="none"/>
        </w:rPr>
      </w:pPr>
      <w:r>
        <w:rPr>
          <w:rFonts w:hint="eastAsia"/>
          <w:color w:val="000000"/>
          <w:sz w:val="24"/>
          <w:highlight w:val="none"/>
        </w:rPr>
        <w:t xml:space="preserve">根据江苏省和常州市的相关文件规定，免收投标保证金。</w:t>
      </w:r>
      <w:r>
        <w:rPr>
          <w:color w:val="000000"/>
          <w:sz w:val="24"/>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bookmarkStart w:id="339" w:name="_Toc305158800"/>
      <w:r/>
      <w:bookmarkStart w:id="340" w:name="_Toc151193774"/>
      <w:r/>
      <w:bookmarkStart w:id="341" w:name="_Toc151190159"/>
      <w:r/>
      <w:bookmarkStart w:id="342" w:name="_Toc226337228"/>
      <w:r/>
      <w:bookmarkStart w:id="343" w:name="_Toc520356157"/>
      <w:r/>
      <w:bookmarkStart w:id="344" w:name="_Toc195842897"/>
      <w:r/>
      <w:bookmarkStart w:id="345" w:name="_Toc164229373"/>
      <w:r/>
      <w:bookmarkStart w:id="346" w:name="_Toc164608801"/>
      <w:r/>
      <w:bookmarkStart w:id="347" w:name="_Toc264969222"/>
      <w:r/>
      <w:bookmarkStart w:id="348" w:name="_Toc142311034"/>
      <w:r/>
      <w:bookmarkStart w:id="349" w:name="_Toc150509283"/>
      <w:r/>
      <w:bookmarkStart w:id="350" w:name="_Toc151193920"/>
      <w:r/>
      <w:bookmarkStart w:id="351" w:name="_Toc226965805"/>
      <w:r/>
      <w:bookmarkStart w:id="352" w:name="_Toc150774737"/>
      <w:r/>
      <w:bookmarkStart w:id="353" w:name="_Toc150480770"/>
      <w:r/>
      <w:bookmarkStart w:id="354" w:name="_Toc151193846"/>
      <w:r/>
      <w:bookmarkStart w:id="355" w:name="_Toc127161446"/>
      <w:r/>
      <w:bookmarkStart w:id="356" w:name="_Toc127151532"/>
      <w:r/>
      <w:bookmarkStart w:id="357" w:name="_Toc226309776"/>
      <w:r/>
      <w:bookmarkStart w:id="358" w:name="_Toc265228370"/>
      <w:r/>
      <w:bookmarkStart w:id="359" w:name="_Toc151193630"/>
      <w:r/>
      <w:bookmarkStart w:id="360" w:name="_Toc226965722"/>
      <w:r/>
      <w:bookmarkStart w:id="361" w:name="_Toc305158874"/>
      <w:r/>
      <w:bookmarkStart w:id="362" w:name="_Toc127151733"/>
      <w:r/>
      <w:bookmarkStart w:id="363" w:name="_Toc164608646"/>
      <w:r/>
      <w:bookmarkStart w:id="364" w:name="_Toc151193702"/>
      <w:r/>
      <w:bookmarkStart w:id="365" w:name="_Toc164351626"/>
      <w:r/>
      <w:bookmarkStart w:id="366" w:name="_Toc164229227"/>
      <w:r/>
      <w:bookmarkStart w:id="367" w:name="_Toc150774632"/>
      <w:r/>
      <w:bookmarkStart w:id="368" w:name="_Toc149720825"/>
      <w:r>
        <w:rPr>
          <w:color w:val="000000"/>
          <w:sz w:val="24"/>
          <w:highlight w:val="none"/>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bookmarkStart w:id="369" w:name="_Toc150480771"/>
      <w:r/>
      <w:bookmarkStart w:id="370" w:name="_Toc164229374"/>
      <w:r/>
      <w:bookmarkStart w:id="371" w:name="_Toc265228371"/>
      <w:r/>
      <w:bookmarkStart w:id="372" w:name="_Toc151190160"/>
      <w:r/>
      <w:bookmarkStart w:id="373" w:name="_Toc164608802"/>
      <w:r/>
      <w:bookmarkStart w:id="374" w:name="_Toc226337229"/>
      <w:r/>
      <w:bookmarkStart w:id="375" w:name="_Toc150509284"/>
      <w:r/>
      <w:bookmarkStart w:id="376" w:name="_Toc164351627"/>
      <w:r/>
      <w:bookmarkStart w:id="377" w:name="_Toc305158875"/>
      <w:r/>
      <w:bookmarkStart w:id="378" w:name="_Toc127161447"/>
      <w:r/>
      <w:bookmarkStart w:id="379" w:name="_Toc305158801"/>
      <w:r/>
      <w:bookmarkStart w:id="380" w:name="_Toc520356158"/>
      <w:r/>
      <w:bookmarkStart w:id="381" w:name="_Toc195842898"/>
      <w:r/>
      <w:bookmarkStart w:id="382" w:name="_Toc151193631"/>
      <w:r/>
      <w:bookmarkStart w:id="383" w:name="_Toc142311035"/>
      <w:r/>
      <w:bookmarkStart w:id="384" w:name="_Toc127151734"/>
      <w:r/>
      <w:bookmarkStart w:id="385" w:name="_Toc150774738"/>
      <w:r/>
      <w:bookmarkStart w:id="386" w:name="_Toc164608647"/>
      <w:r/>
      <w:bookmarkStart w:id="387" w:name="_Toc151193921"/>
      <w:r/>
      <w:bookmarkStart w:id="388" w:name="_Toc264969223"/>
      <w:r/>
      <w:bookmarkStart w:id="389" w:name="_Toc149720826"/>
      <w:r/>
      <w:bookmarkStart w:id="390" w:name="_Toc127151533"/>
      <w:r/>
      <w:bookmarkStart w:id="391" w:name="_Toc226965806"/>
      <w:r/>
      <w:bookmarkStart w:id="392" w:name="_Toc226309777"/>
      <w:r/>
      <w:bookmarkStart w:id="393" w:name="_Toc150774633"/>
      <w:r/>
      <w:bookmarkStart w:id="394" w:name="_Toc226965723"/>
      <w:r/>
      <w:bookmarkStart w:id="395" w:name="_Toc164229228"/>
      <w:r/>
      <w:bookmarkStart w:id="396" w:name="_Toc151193775"/>
      <w:r/>
      <w:bookmarkStart w:id="397" w:name="_Toc151193703"/>
      <w:r/>
      <w:bookmarkStart w:id="398" w:name="_Toc151193847"/>
      <w:r>
        <w:rPr>
          <w:color w:val="000000"/>
          <w:sz w:val="24"/>
          <w:highlight w:val="none"/>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color w:val="000000"/>
          <w:sz w:val="24"/>
          <w:highlight w:val="none"/>
        </w:rPr>
        <w:t xml:space="preserve">、加盖公章</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bookmarkStart w:id="399" w:name="_Toc150509285"/>
      <w:r/>
      <w:bookmarkStart w:id="400" w:name="_Toc150774739"/>
      <w:r/>
      <w:bookmarkStart w:id="401" w:name="_Toc150480772"/>
      <w:r/>
      <w:bookmarkStart w:id="402" w:name="_Toc226337230"/>
      <w:r/>
      <w:bookmarkStart w:id="403" w:name="_Toc226965807"/>
      <w:r/>
      <w:bookmarkStart w:id="404" w:name="_Toc265228372"/>
      <w:r/>
      <w:bookmarkStart w:id="405" w:name="_Toc520356159"/>
      <w:r/>
      <w:bookmarkStart w:id="406" w:name="_Toc151193704"/>
      <w:r/>
      <w:bookmarkStart w:id="407" w:name="_Toc150774634"/>
      <w:r/>
      <w:bookmarkStart w:id="408" w:name="_Toc151193848"/>
      <w:r/>
      <w:bookmarkStart w:id="409" w:name="_Toc305158876"/>
      <w:r/>
      <w:bookmarkStart w:id="410" w:name="_Toc264969224"/>
      <w:r/>
      <w:bookmarkStart w:id="411" w:name="_Toc151193632"/>
      <w:r/>
      <w:bookmarkStart w:id="412" w:name="_Toc226965724"/>
      <w:r/>
      <w:bookmarkStart w:id="413" w:name="_Toc127151534"/>
      <w:r/>
      <w:bookmarkStart w:id="414" w:name="_Toc151190161"/>
      <w:r/>
      <w:bookmarkStart w:id="415" w:name="_Toc151193922"/>
      <w:r/>
      <w:bookmarkStart w:id="416" w:name="_Toc195842899"/>
      <w:r/>
      <w:bookmarkStart w:id="417" w:name="_Toc142311036"/>
      <w:r/>
      <w:bookmarkStart w:id="418" w:name="_Toc226309778"/>
      <w:r/>
      <w:bookmarkStart w:id="419" w:name="_Toc305158802"/>
      <w:r/>
      <w:bookmarkStart w:id="420" w:name="_Toc151193776"/>
      <w:r>
        <w:rPr>
          <w:color w:val="000000"/>
          <w:sz w:val="24"/>
          <w:highlight w:val="none"/>
        </w:rPr>
        <w:t xml:space="preserve">招标文件要求签字的内容（如</w:t>
      </w:r>
      <w:r>
        <w:rPr>
          <w:rFonts w:hint="eastAsia"/>
          <w:color w:val="000000"/>
          <w:sz w:val="24"/>
          <w:highlight w:val="none"/>
        </w:rPr>
        <w:t xml:space="preserve">法定代表人资格证明书</w:t>
      </w:r>
      <w:r>
        <w:rPr>
          <w:color w:val="000000"/>
          <w:sz w:val="24"/>
          <w:highlight w:val="none"/>
        </w:rPr>
        <w:t xml:space="preserve">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1005"/>
        <w:ind w:left="357"/>
        <w:spacing w:line="360" w:lineRule="auto"/>
        <w:tabs>
          <w:tab w:val="left" w:pos="900" w:leader="none"/>
          <w:tab w:val="left" w:pos="1080" w:leader="none"/>
        </w:tabs>
        <w:rPr>
          <w:color w:val="000000"/>
          <w:highlight w:val="none"/>
        </w:rPr>
      </w:pPr>
      <w:r>
        <w:rPr>
          <w:color w:val="000000"/>
          <w:highlight w:val="none"/>
        </w:rPr>
      </w:r>
      <w:r/>
    </w:p>
    <w:p>
      <w:pPr>
        <w:pStyle w:val="100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ascii="Times New Roman" w:hAnsi="Times New Roman" w:eastAsia="宋体"/>
          <w:color w:val="000000"/>
          <w:sz w:val="28"/>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bookmarkStart w:id="421" w:name="_Toc226965808"/>
      <w:r/>
      <w:bookmarkStart w:id="422" w:name="_Toc149720828"/>
      <w:r/>
      <w:bookmarkStart w:id="423" w:name="_Toc151193849"/>
      <w:r/>
      <w:bookmarkStart w:id="424" w:name="_Toc151193633"/>
      <w:r/>
      <w:bookmarkStart w:id="425" w:name="_Toc164229230"/>
      <w:r/>
      <w:bookmarkStart w:id="426" w:name="_Toc150774740"/>
      <w:r/>
      <w:bookmarkStart w:id="427" w:name="_Toc226337231"/>
      <w:r/>
      <w:bookmarkStart w:id="428" w:name="_Toc127151736"/>
      <w:r/>
      <w:bookmarkStart w:id="429" w:name="_Toc226965725"/>
      <w:r/>
      <w:bookmarkStart w:id="430" w:name="_Toc265228373"/>
      <w:r/>
      <w:bookmarkStart w:id="431" w:name="_Toc151193777"/>
      <w:r/>
      <w:bookmarkStart w:id="432" w:name="_Toc142311037"/>
      <w:r/>
      <w:bookmarkStart w:id="433" w:name="_Toc264969225"/>
      <w:r/>
      <w:bookmarkStart w:id="434" w:name="_Toc151190162"/>
      <w:r/>
      <w:bookmarkStart w:id="435" w:name="_Toc127161449"/>
      <w:r/>
      <w:bookmarkStart w:id="436" w:name="_Toc195842900"/>
      <w:r/>
      <w:bookmarkStart w:id="437" w:name="_Toc127151535"/>
      <w:r/>
      <w:bookmarkStart w:id="438" w:name="_Toc151193705"/>
      <w:r/>
      <w:bookmarkStart w:id="439" w:name="_Toc164608804"/>
      <w:r/>
      <w:bookmarkStart w:id="440" w:name="_Toc150774635"/>
      <w:r/>
      <w:bookmarkStart w:id="441" w:name="_Toc151193923"/>
      <w:r/>
      <w:bookmarkStart w:id="442" w:name="_Toc164229376"/>
      <w:r/>
      <w:bookmarkStart w:id="443" w:name="_Toc305158803"/>
      <w:r/>
      <w:bookmarkStart w:id="444" w:name="_Toc305158877"/>
      <w:r/>
      <w:bookmarkStart w:id="445" w:name="_Toc226309779"/>
      <w:r/>
      <w:bookmarkStart w:id="446" w:name="_Toc164351629"/>
      <w:r/>
      <w:bookmarkStart w:id="447" w:name="_Toc164608649"/>
      <w:r/>
      <w:bookmarkStart w:id="448" w:name="_Toc150509286"/>
      <w:r/>
      <w:bookmarkStart w:id="449" w:name="_Toc150480773"/>
      <w:r/>
      <w:bookmarkStart w:id="450" w:name="_Toc520356160"/>
      <w:r>
        <w:rPr>
          <w:color w:val="000000"/>
          <w:sz w:val="24"/>
          <w:highlight w:val="none"/>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color w:val="000000"/>
          <w:sz w:val="24"/>
          <w:highlight w:val="none"/>
        </w:rPr>
        <w:t xml:space="preserve">提交</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w:t>
      </w:r>
      <w:r>
        <w:rPr>
          <w:rFonts w:hint="eastAsia"/>
          <w:color w:val="000000"/>
          <w:sz w:val="24"/>
          <w:highlight w:val="none"/>
          <w:lang w:bidi="ar"/>
        </w:rPr>
        <w:t xml:space="preserve">政府采购一体化平台</w:t>
      </w:r>
      <w:r>
        <w:rPr>
          <w:rFonts w:hint="eastAsia"/>
          <w:color w:val="000000"/>
          <w:sz w:val="24"/>
          <w:highlight w:val="none"/>
          <w:lang w:eastAsia="zh-CN" w:bidi="ar"/>
        </w:rPr>
        <w:t xml:space="preserve">“</w:t>
      </w:r>
      <w:r>
        <w:rPr>
          <w:rFonts w:hint="eastAsia"/>
          <w:color w:val="000000"/>
          <w:sz w:val="24"/>
          <w:highlight w:val="none"/>
          <w:lang w:bidi="ar"/>
        </w:rPr>
        <w:t xml:space="preserve">苏采云</w:t>
      </w:r>
      <w:r>
        <w:rPr>
          <w:rFonts w:hint="eastAsia"/>
          <w:color w:val="000000"/>
          <w:sz w:val="24"/>
          <w:highlight w:val="none"/>
          <w:lang w:eastAsia="zh-CN" w:bidi="ar"/>
        </w:rPr>
        <w:t xml:space="preserve">”</w:t>
      </w:r>
      <w:r>
        <w:rPr>
          <w:color w:val="000000"/>
          <w:sz w:val="24"/>
          <w:highlight w:val="none"/>
        </w:rPr>
        <w:t xml:space="preserve">。投标人根据招标文件及</w:t>
      </w:r>
      <w:r>
        <w:rPr>
          <w:rFonts w:hint="eastAsia"/>
          <w:color w:val="000000"/>
          <w:sz w:val="24"/>
          <w:highlight w:val="none"/>
          <w:lang w:bidi="ar"/>
        </w:rPr>
        <w:t xml:space="preserve">政府采购一体化平台</w:t>
      </w:r>
      <w:r>
        <w:rPr>
          <w:rFonts w:hint="eastAsia"/>
          <w:color w:val="000000"/>
          <w:sz w:val="24"/>
          <w:highlight w:val="none"/>
          <w:lang w:eastAsia="zh-CN" w:bidi="ar"/>
        </w:rPr>
        <w:t xml:space="preserve">“</w:t>
      </w:r>
      <w:r>
        <w:rPr>
          <w:rFonts w:hint="eastAsia"/>
          <w:color w:val="000000"/>
          <w:sz w:val="24"/>
          <w:highlight w:val="none"/>
          <w:lang w:bidi="ar"/>
        </w:rPr>
        <w:t xml:space="preserve">苏采云</w:t>
      </w:r>
      <w:r>
        <w:rPr>
          <w:rFonts w:hint="eastAsia"/>
          <w:color w:val="000000"/>
          <w:sz w:val="24"/>
          <w:highlight w:val="none"/>
          <w:lang w:eastAsia="zh-CN" w:bidi="ar"/>
        </w:rPr>
        <w:t xml:space="preserve">”</w:t>
      </w:r>
      <w:r>
        <w:rPr>
          <w:color w:val="000000"/>
          <w:sz w:val="24"/>
          <w:highlight w:val="none"/>
        </w:rPr>
        <w:t xml:space="preserve">供应商操作手册要求编制、生成并提交电子投标文件。</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招标人及招标代理机构拒绝接受通过</w:t>
      </w:r>
      <w:r>
        <w:rPr>
          <w:rFonts w:hint="eastAsia"/>
          <w:color w:val="000000"/>
          <w:sz w:val="24"/>
          <w:highlight w:val="none"/>
        </w:rPr>
        <w:t xml:space="preserve">政府采购一体化平台</w:t>
      </w:r>
      <w:r>
        <w:rPr>
          <w:rFonts w:hint="eastAsia"/>
          <w:color w:val="000000"/>
          <w:sz w:val="24"/>
          <w:highlight w:val="none"/>
          <w:lang w:eastAsia="zh-CN"/>
        </w:rPr>
        <w:t xml:space="preserve">“</w:t>
      </w:r>
      <w:r>
        <w:rPr>
          <w:rFonts w:hint="eastAsia"/>
          <w:color w:val="000000"/>
          <w:sz w:val="24"/>
          <w:highlight w:val="none"/>
        </w:rPr>
        <w:t xml:space="preserve">苏采云</w:t>
      </w:r>
      <w:r>
        <w:rPr>
          <w:rFonts w:hint="eastAsia"/>
          <w:color w:val="000000"/>
          <w:sz w:val="24"/>
          <w:highlight w:val="none"/>
          <w:lang w:eastAsia="zh-CN"/>
        </w:rPr>
        <w:t xml:space="preserve">”</w:t>
      </w:r>
      <w:r>
        <w:rPr>
          <w:color w:val="000000"/>
          <w:sz w:val="24"/>
          <w:highlight w:val="none"/>
        </w:rPr>
        <w:t xml:space="preserve">以外任何形式提交的投标文件。</w:t>
      </w:r>
      <w:r>
        <w:rPr>
          <w:color w:val="000000"/>
          <w:sz w:val="24"/>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bookmarkStart w:id="451" w:name="_Toc151193706"/>
      <w:r/>
      <w:bookmarkStart w:id="452" w:name="_Toc142311038"/>
      <w:r/>
      <w:bookmarkStart w:id="453" w:name="_Toc195842901"/>
      <w:r/>
      <w:bookmarkStart w:id="454" w:name="_Toc150774636"/>
      <w:r/>
      <w:bookmarkStart w:id="455" w:name="_Toc151193850"/>
      <w:r/>
      <w:bookmarkStart w:id="456" w:name="_Toc164229231"/>
      <w:r/>
      <w:bookmarkStart w:id="457" w:name="_Toc264969226"/>
      <w:r/>
      <w:bookmarkStart w:id="458" w:name="_Toc151193634"/>
      <w:r/>
      <w:bookmarkStart w:id="459" w:name="_Toc151193924"/>
      <w:r/>
      <w:bookmarkStart w:id="460" w:name="_Toc150480774"/>
      <w:r/>
      <w:bookmarkStart w:id="461" w:name="_Toc149720829"/>
      <w:r/>
      <w:bookmarkStart w:id="462" w:name="_Toc127161450"/>
      <w:r/>
      <w:bookmarkStart w:id="463" w:name="_Toc265228374"/>
      <w:r/>
      <w:bookmarkStart w:id="464" w:name="_Toc305158878"/>
      <w:r/>
      <w:bookmarkStart w:id="465" w:name="_Toc151190163"/>
      <w:r/>
      <w:bookmarkStart w:id="466" w:name="_Toc164229377"/>
      <w:r/>
      <w:bookmarkStart w:id="467" w:name="_Toc226965809"/>
      <w:r/>
      <w:bookmarkStart w:id="468" w:name="_Toc150774741"/>
      <w:r/>
      <w:bookmarkStart w:id="469" w:name="_Toc520356161"/>
      <w:r/>
      <w:bookmarkStart w:id="470" w:name="_Toc226965726"/>
      <w:r/>
      <w:bookmarkStart w:id="471" w:name="_Toc127151737"/>
      <w:r/>
      <w:bookmarkStart w:id="472" w:name="_Toc164608650"/>
      <w:r/>
      <w:bookmarkStart w:id="473" w:name="_Toc151193778"/>
      <w:r/>
      <w:bookmarkStart w:id="474" w:name="_Toc164351630"/>
      <w:r/>
      <w:bookmarkStart w:id="475" w:name="_Toc150509287"/>
      <w:r/>
      <w:bookmarkStart w:id="476" w:name="_Toc127151536"/>
      <w:r/>
      <w:bookmarkStart w:id="477" w:name="_Toc164608805"/>
      <w:r/>
      <w:bookmarkStart w:id="478" w:name="_Toc305158804"/>
      <w:r/>
      <w:bookmarkStart w:id="479" w:name="_Toc226309780"/>
      <w:r/>
      <w:bookmarkStart w:id="480" w:name="_Toc226337232"/>
      <w:r>
        <w:rPr>
          <w:color w:val="000000"/>
          <w:sz w:val="24"/>
          <w:highlight w:val="none"/>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color w:val="000000"/>
          <w:sz w:val="24"/>
          <w:highlight w:val="none"/>
        </w:rPr>
        <w:t xml:space="preserve">时间</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w:t>
      </w:r>
      <w:r>
        <w:rPr>
          <w:rFonts w:hint="eastAsia"/>
          <w:color w:val="000000"/>
          <w:sz w:val="24"/>
          <w:highlight w:val="none"/>
        </w:rPr>
        <w:t xml:space="preserve">政府采购一体化平台</w:t>
      </w:r>
      <w:r>
        <w:rPr>
          <w:rFonts w:hint="eastAsia"/>
          <w:color w:val="000000"/>
          <w:sz w:val="24"/>
          <w:highlight w:val="none"/>
          <w:lang w:eastAsia="zh-CN"/>
        </w:rPr>
        <w:t xml:space="preserve">“</w:t>
      </w:r>
      <w:r>
        <w:rPr>
          <w:rFonts w:hint="eastAsia"/>
          <w:color w:val="000000"/>
          <w:sz w:val="24"/>
          <w:highlight w:val="none"/>
        </w:rPr>
        <w:t xml:space="preserve">苏采云</w:t>
      </w:r>
      <w:r>
        <w:rPr>
          <w:rFonts w:hint="eastAsia"/>
          <w:color w:val="000000"/>
          <w:sz w:val="24"/>
          <w:highlight w:val="none"/>
          <w:lang w:eastAsia="zh-CN"/>
        </w:rPr>
        <w:t xml:space="preserve">”</w:t>
      </w:r>
      <w:r>
        <w:rPr>
          <w:color w:val="000000"/>
          <w:sz w:val="24"/>
          <w:highlight w:val="none"/>
        </w:rPr>
        <w:t xml:space="preserve">。</w:t>
      </w:r>
      <w:r>
        <w:rPr>
          <w:color w:val="000000"/>
          <w:sz w:val="24"/>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bookmarkStart w:id="481" w:name="_Toc150774742"/>
      <w:r/>
      <w:bookmarkStart w:id="482" w:name="_Toc164608806"/>
      <w:r/>
      <w:bookmarkStart w:id="483" w:name="_Toc151193851"/>
      <w:r/>
      <w:bookmarkStart w:id="484" w:name="_Toc520356162"/>
      <w:r/>
      <w:bookmarkStart w:id="485" w:name="_Toc151190164"/>
      <w:r/>
      <w:bookmarkStart w:id="486" w:name="_Toc305158879"/>
      <w:r/>
      <w:bookmarkStart w:id="487" w:name="_Toc127151738"/>
      <w:r/>
      <w:bookmarkStart w:id="488" w:name="_Toc226337233"/>
      <w:r/>
      <w:bookmarkStart w:id="489" w:name="_Toc151193707"/>
      <w:r/>
      <w:bookmarkStart w:id="490" w:name="_Toc149720830"/>
      <w:r/>
      <w:bookmarkStart w:id="491" w:name="_Toc226965810"/>
      <w:r/>
      <w:bookmarkStart w:id="492" w:name="_Toc127151537"/>
      <w:r/>
      <w:bookmarkStart w:id="493" w:name="_Toc150509288"/>
      <w:r/>
      <w:bookmarkStart w:id="494" w:name="_Toc150774637"/>
      <w:r/>
      <w:bookmarkStart w:id="495" w:name="_Toc164229232"/>
      <w:r/>
      <w:bookmarkStart w:id="496" w:name="_Toc127161451"/>
      <w:r/>
      <w:bookmarkStart w:id="497" w:name="_Toc264969227"/>
      <w:r/>
      <w:bookmarkStart w:id="498" w:name="_Toc195842902"/>
      <w:r/>
      <w:bookmarkStart w:id="499" w:name="_Toc151193925"/>
      <w:r/>
      <w:bookmarkStart w:id="500" w:name="_Toc226309781"/>
      <w:r/>
      <w:bookmarkStart w:id="501" w:name="_Toc151193635"/>
      <w:r/>
      <w:bookmarkStart w:id="502" w:name="_Toc164608651"/>
      <w:r/>
      <w:bookmarkStart w:id="503" w:name="_Toc226965727"/>
      <w:r/>
      <w:bookmarkStart w:id="504" w:name="_Toc305158805"/>
      <w:r/>
      <w:bookmarkStart w:id="505" w:name="_Toc265228375"/>
      <w:r/>
      <w:bookmarkStart w:id="506" w:name="_Toc150480775"/>
      <w:r/>
      <w:bookmarkStart w:id="507" w:name="_Toc164229378"/>
      <w:r/>
      <w:bookmarkStart w:id="508" w:name="_Toc164351631"/>
      <w:r/>
      <w:bookmarkStart w:id="509" w:name="_Toc151193779"/>
      <w:r/>
      <w:bookmarkStart w:id="510" w:name="_Toc142311039"/>
      <w:r>
        <w:rPr>
          <w:color w:val="000000"/>
          <w:sz w:val="24"/>
          <w:highlight w:val="none"/>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投标截止时间前，投标人可以通过</w:t>
      </w:r>
      <w:r>
        <w:rPr>
          <w:rFonts w:hint="eastAsia"/>
          <w:color w:val="000000"/>
          <w:sz w:val="24"/>
          <w:highlight w:val="none"/>
        </w:rPr>
        <w:t xml:space="preserve">政府采购一体化平台</w:t>
      </w:r>
      <w:r>
        <w:rPr>
          <w:rFonts w:hint="eastAsia"/>
          <w:color w:val="000000"/>
          <w:sz w:val="24"/>
          <w:highlight w:val="none"/>
          <w:lang w:eastAsia="zh-CN"/>
        </w:rPr>
        <w:t xml:space="preserve">“</w:t>
      </w:r>
      <w:r>
        <w:rPr>
          <w:rFonts w:hint="eastAsia"/>
          <w:color w:val="000000"/>
          <w:sz w:val="24"/>
          <w:highlight w:val="none"/>
        </w:rPr>
        <w:t xml:space="preserve">苏采云</w:t>
      </w:r>
      <w:r>
        <w:rPr>
          <w:rFonts w:hint="eastAsia"/>
          <w:color w:val="000000"/>
          <w:sz w:val="24"/>
          <w:highlight w:val="none"/>
          <w:lang w:eastAsia="zh-CN"/>
        </w:rPr>
        <w:t xml:space="preserve">”</w:t>
      </w:r>
      <w:r>
        <w:rPr>
          <w:color w:val="000000"/>
          <w:sz w:val="24"/>
          <w:highlight w:val="none"/>
        </w:rPr>
        <w:t xml:space="preserve">对所提交的投标文件进行补充、修改或者撤回。</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r>
        <w:rPr>
          <w:color w:val="000000"/>
          <w:sz w:val="24"/>
          <w:highlight w:val="none"/>
        </w:rPr>
      </w:r>
      <w:r/>
    </w:p>
    <w:p>
      <w:pPr>
        <w:pStyle w:val="1005"/>
        <w:spacing w:line="360" w:lineRule="auto"/>
        <w:rPr>
          <w:color w:val="000000"/>
          <w:sz w:val="24"/>
          <w:highlight w:val="none"/>
        </w:rPr>
      </w:pPr>
      <w:r>
        <w:rPr>
          <w:color w:val="000000"/>
          <w:sz w:val="24"/>
          <w:highlight w:val="none"/>
        </w:rPr>
      </w:r>
      <w:r/>
    </w:p>
    <w:p>
      <w:pPr>
        <w:pStyle w:val="1007"/>
        <w:spacing w:before="0" w:line="360" w:lineRule="auto"/>
        <w:rPr>
          <w:rFonts w:ascii="Times New Roman" w:hAnsi="Times New Roman" w:eastAsia="宋体"/>
          <w:color w:val="000000"/>
          <w:sz w:val="28"/>
          <w:highlight w:val="none"/>
        </w:rPr>
      </w:pPr>
      <w:r/>
      <w:bookmarkStart w:id="511" w:name="_Toc151193780"/>
      <w:r/>
      <w:bookmarkStart w:id="512" w:name="_Toc265228376"/>
      <w:r/>
      <w:bookmarkStart w:id="513" w:name="_Toc150509289"/>
      <w:r/>
      <w:bookmarkStart w:id="514" w:name="_Toc150480776"/>
      <w:r/>
      <w:bookmarkStart w:id="515" w:name="_Toc226337234"/>
      <w:r/>
      <w:bookmarkStart w:id="516" w:name="_Toc150774743"/>
      <w:r/>
      <w:bookmarkStart w:id="517" w:name="_Toc305158806"/>
      <w:r/>
      <w:bookmarkStart w:id="518" w:name="_Toc127151538"/>
      <w:r/>
      <w:bookmarkStart w:id="519" w:name="_Toc226965811"/>
      <w:r/>
      <w:bookmarkStart w:id="520" w:name="_Toc151190165"/>
      <w:r/>
      <w:bookmarkStart w:id="521" w:name="_Toc305158880"/>
      <w:r/>
      <w:bookmarkStart w:id="522" w:name="_Toc151193636"/>
      <w:r/>
      <w:bookmarkStart w:id="523" w:name="_Toc195842903"/>
      <w:r/>
      <w:bookmarkStart w:id="524" w:name="_Toc226965728"/>
      <w:r/>
      <w:bookmarkStart w:id="525" w:name="_Toc520356163"/>
      <w:r/>
      <w:bookmarkStart w:id="526" w:name="_Toc151193852"/>
      <w:r/>
      <w:bookmarkStart w:id="527" w:name="_Toc142311040"/>
      <w:r/>
      <w:bookmarkStart w:id="528" w:name="_Toc150774638"/>
      <w:r/>
      <w:bookmarkStart w:id="529" w:name="_Toc151193708"/>
      <w:r/>
      <w:bookmarkStart w:id="530" w:name="_Toc264969228"/>
      <w:r/>
      <w:bookmarkStart w:id="531" w:name="_Toc151193926"/>
      <w:r/>
      <w:bookmarkStart w:id="532" w:name="_Toc226309782"/>
      <w:r>
        <w:rPr>
          <w:rFonts w:ascii="Times New Roman" w:hAnsi="Times New Roman" w:eastAsia="宋体"/>
          <w:color w:val="000000"/>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ascii="Times New Roman" w:hAnsi="Times New Roman" w:eastAsia="宋体"/>
          <w:color w:val="000000"/>
          <w:sz w:val="28"/>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bookmarkStart w:id="533" w:name="_Toc149720832"/>
      <w:r/>
      <w:bookmarkStart w:id="534" w:name="_Toc151190166"/>
      <w:r/>
      <w:bookmarkStart w:id="535" w:name="_Toc164229380"/>
      <w:r/>
      <w:bookmarkStart w:id="536" w:name="_Toc150774744"/>
      <w:r/>
      <w:bookmarkStart w:id="537" w:name="_Toc151193781"/>
      <w:r/>
      <w:bookmarkStart w:id="538" w:name="_Toc151193709"/>
      <w:r/>
      <w:bookmarkStart w:id="539" w:name="_Toc150774639"/>
      <w:r/>
      <w:bookmarkStart w:id="540" w:name="_Toc305158807"/>
      <w:r/>
      <w:bookmarkStart w:id="541" w:name="_Toc150480777"/>
      <w:r/>
      <w:bookmarkStart w:id="542" w:name="_Toc226337235"/>
      <w:r/>
      <w:bookmarkStart w:id="543" w:name="_Toc150509290"/>
      <w:r/>
      <w:bookmarkStart w:id="544" w:name="_Toc195842904"/>
      <w:r/>
      <w:bookmarkStart w:id="545" w:name="_Toc226309783"/>
      <w:r/>
      <w:bookmarkStart w:id="546" w:name="_Toc265228377"/>
      <w:r/>
      <w:bookmarkStart w:id="547" w:name="_Toc520356164"/>
      <w:r/>
      <w:bookmarkStart w:id="548" w:name="_Toc226965729"/>
      <w:r/>
      <w:bookmarkStart w:id="549" w:name="_Toc151193927"/>
      <w:r/>
      <w:bookmarkStart w:id="550" w:name="_Toc164229234"/>
      <w:r/>
      <w:bookmarkStart w:id="551" w:name="_Toc164608808"/>
      <w:r/>
      <w:bookmarkStart w:id="552" w:name="_Toc305158881"/>
      <w:r/>
      <w:bookmarkStart w:id="553" w:name="_Toc127161453"/>
      <w:r/>
      <w:bookmarkStart w:id="554" w:name="_Toc264969229"/>
      <w:r/>
      <w:bookmarkStart w:id="555" w:name="_Toc164608653"/>
      <w:r/>
      <w:bookmarkStart w:id="556" w:name="_Toc164351633"/>
      <w:r/>
      <w:bookmarkStart w:id="557" w:name="_Toc151193637"/>
      <w:r/>
      <w:bookmarkStart w:id="558" w:name="_Toc127151539"/>
      <w:r/>
      <w:bookmarkStart w:id="559" w:name="_Toc226965812"/>
      <w:r/>
      <w:bookmarkStart w:id="560" w:name="_Toc127151740"/>
      <w:r/>
      <w:bookmarkStart w:id="561" w:name="_Toc151193853"/>
      <w:r/>
      <w:bookmarkStart w:id="562" w:name="_Toc142311041"/>
      <w:r>
        <w:rPr>
          <w:color w:val="000000"/>
          <w:sz w:val="24"/>
          <w:highlight w:val="none"/>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招标人或招标代理机构将按招标文件的规定，在投标截止时间的同一时间和招标文件预先确定的地点组织开标。</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政府采购一体化平台</w:t>
      </w:r>
      <w:r>
        <w:rPr>
          <w:rFonts w:hint="eastAsia"/>
          <w:color w:val="000000"/>
          <w:sz w:val="24"/>
          <w:highlight w:val="none"/>
          <w:lang w:eastAsia="zh-CN"/>
        </w:rPr>
        <w:t xml:space="preserve">“</w:t>
      </w:r>
      <w:r>
        <w:rPr>
          <w:rFonts w:hint="eastAsia"/>
          <w:color w:val="000000"/>
          <w:sz w:val="24"/>
          <w:highlight w:val="none"/>
        </w:rPr>
        <w:t xml:space="preserve">苏采云</w:t>
      </w:r>
      <w:r>
        <w:rPr>
          <w:rFonts w:hint="eastAsia"/>
          <w:color w:val="000000"/>
          <w:sz w:val="24"/>
          <w:highlight w:val="none"/>
          <w:lang w:eastAsia="zh-CN"/>
        </w:rPr>
        <w:t xml:space="preserve">”</w:t>
      </w:r>
      <w:r>
        <w:rPr>
          <w:rFonts w:hint="eastAsia"/>
          <w:color w:val="000000"/>
          <w:sz w:val="24"/>
          <w:highlight w:val="none"/>
        </w:rPr>
        <w:t xml:space="preserve">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开标过程将使用</w:t>
      </w:r>
      <w:r>
        <w:rPr>
          <w:rFonts w:hint="eastAsia"/>
          <w:color w:val="000000"/>
          <w:sz w:val="24"/>
          <w:highlight w:val="none"/>
        </w:rPr>
        <w:t xml:space="preserve">政府采购一体化平台</w:t>
      </w:r>
      <w:r>
        <w:rPr>
          <w:rFonts w:hint="eastAsia"/>
          <w:color w:val="000000"/>
          <w:sz w:val="24"/>
          <w:highlight w:val="none"/>
          <w:lang w:eastAsia="zh-CN"/>
        </w:rPr>
        <w:t xml:space="preserve">“</w:t>
      </w:r>
      <w:r>
        <w:rPr>
          <w:rFonts w:hint="eastAsia"/>
          <w:color w:val="000000"/>
          <w:sz w:val="24"/>
          <w:highlight w:val="none"/>
        </w:rPr>
        <w:t xml:space="preserve">苏采云</w:t>
      </w:r>
      <w:r>
        <w:rPr>
          <w:rFonts w:hint="eastAsia"/>
          <w:color w:val="000000"/>
          <w:sz w:val="24"/>
          <w:highlight w:val="none"/>
          <w:lang w:eastAsia="zh-CN"/>
        </w:rPr>
        <w:t xml:space="preserve">”</w:t>
      </w:r>
      <w:r>
        <w:rPr>
          <w:rFonts w:hint="eastAsia"/>
          <w:color w:val="000000"/>
          <w:sz w:val="24"/>
          <w:highlight w:val="none"/>
        </w:rPr>
        <w:t xml:space="preserve">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bookmarkStart w:id="563" w:name="_Toc520356165"/>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投标人代表对开标过程和开标记录有疑义，以及认为招标人、招标代理机构相关工作人员有需要回避的情形的，应当场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提出询问或者回避申请。招标人、招标代理机构对投标人代表提出的询问或者回避申请将及时处理。</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投标人不足3家的，不予开标。</w:t>
      </w:r>
      <w:r>
        <w:rPr>
          <w:rFonts w:hint="eastAsia"/>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投标人须在开标前使用</w:t>
      </w:r>
      <w:r>
        <w:rPr>
          <w:rFonts w:hint="eastAsia"/>
          <w:color w:val="000000"/>
          <w:sz w:val="24"/>
          <w:highlight w:val="none"/>
          <w:lang w:eastAsia="zh-CN"/>
        </w:rPr>
        <w:t xml:space="preserve">“</w:t>
      </w:r>
      <w:r>
        <w:rPr>
          <w:color w:val="000000"/>
          <w:sz w:val="24"/>
          <w:highlight w:val="none"/>
        </w:rPr>
        <w:t xml:space="preserve">验证CA</w:t>
      </w:r>
      <w:r>
        <w:rPr>
          <w:rFonts w:hint="eastAsia"/>
          <w:color w:val="000000"/>
          <w:sz w:val="24"/>
          <w:highlight w:val="none"/>
          <w:lang w:eastAsia="zh-CN"/>
        </w:rPr>
        <w:t xml:space="preserve">”</w:t>
      </w:r>
      <w:r>
        <w:rPr>
          <w:color w:val="000000"/>
          <w:sz w:val="24"/>
          <w:highlight w:val="none"/>
        </w:rPr>
        <w:t xml:space="preserve">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lang w:eastAsia="zh-CN"/>
        </w:rPr>
        <w:t xml:space="preserve">“</w:t>
      </w:r>
      <w:r>
        <w:rPr>
          <w:rFonts w:hint="eastAsia"/>
          <w:color w:val="000000"/>
          <w:sz w:val="24"/>
          <w:highlight w:val="none"/>
          <w:lang w:bidi="ar"/>
        </w:rPr>
        <w:t xml:space="preserve">政府采购一体化平台</w:t>
      </w:r>
      <w:r>
        <w:rPr>
          <w:rFonts w:hint="eastAsia"/>
          <w:color w:val="000000"/>
          <w:sz w:val="24"/>
          <w:highlight w:val="none"/>
          <w:lang w:eastAsia="zh-CN" w:bidi="ar"/>
        </w:rPr>
        <w:t xml:space="preserve">“</w:t>
      </w:r>
      <w:r>
        <w:rPr>
          <w:rFonts w:hint="eastAsia"/>
          <w:color w:val="000000"/>
          <w:sz w:val="24"/>
          <w:highlight w:val="none"/>
          <w:lang w:bidi="ar"/>
        </w:rPr>
        <w:t xml:space="preserve">苏采云</w:t>
      </w:r>
      <w:r>
        <w:rPr>
          <w:rFonts w:hint="eastAsia"/>
          <w:color w:val="000000"/>
          <w:sz w:val="24"/>
          <w:highlight w:val="none"/>
          <w:lang w:eastAsia="zh-CN" w:bidi="ar"/>
        </w:rPr>
        <w:t xml:space="preserve">”</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005"/>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005"/>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005"/>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005"/>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1005"/>
        <w:ind w:left="1134"/>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资格审查</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bookmarkEnd w:id="563"/>
      <w:r/>
      <w:bookmarkStart w:id="564" w:name="_Toc164608809"/>
      <w:r/>
      <w:bookmarkStart w:id="565" w:name="_Toc226337236"/>
      <w:r/>
      <w:bookmarkStart w:id="566" w:name="_Toc164229235"/>
      <w:r/>
      <w:bookmarkStart w:id="567" w:name="_Toc151193928"/>
      <w:r/>
      <w:bookmarkStart w:id="568" w:name="_Toc151193710"/>
      <w:r/>
      <w:bookmarkStart w:id="569" w:name="_Toc142311042"/>
      <w:r/>
      <w:bookmarkStart w:id="570" w:name="_Toc305158808"/>
      <w:r/>
      <w:bookmarkStart w:id="571" w:name="_Toc195842905"/>
      <w:r/>
      <w:bookmarkStart w:id="572" w:name="_Toc151190167"/>
      <w:r/>
      <w:bookmarkStart w:id="573" w:name="_Toc127151540"/>
      <w:r/>
      <w:bookmarkStart w:id="574" w:name="_Toc226309784"/>
      <w:r/>
      <w:bookmarkStart w:id="575" w:name="_Toc164229381"/>
      <w:r/>
      <w:bookmarkStart w:id="576" w:name="_Toc149720833"/>
      <w:r/>
      <w:bookmarkStart w:id="577" w:name="_Toc150774745"/>
      <w:r/>
      <w:bookmarkStart w:id="578" w:name="_Toc164351634"/>
      <w:r/>
      <w:bookmarkStart w:id="579" w:name="_Toc226965730"/>
      <w:r/>
      <w:bookmarkStart w:id="580" w:name="_Toc151193782"/>
      <w:r/>
      <w:bookmarkStart w:id="581" w:name="_Toc150774640"/>
      <w:r/>
      <w:bookmarkStart w:id="582" w:name="_Toc150480778"/>
      <w:r/>
      <w:bookmarkStart w:id="583" w:name="_Toc150509291"/>
      <w:r/>
      <w:bookmarkStart w:id="584" w:name="_Toc226965813"/>
      <w:r/>
      <w:bookmarkStart w:id="585" w:name="_Toc127151741"/>
      <w:r/>
      <w:bookmarkStart w:id="586" w:name="_Toc151193854"/>
      <w:r/>
      <w:bookmarkStart w:id="587" w:name="_Toc127161454"/>
      <w:r/>
      <w:bookmarkStart w:id="588" w:name="_Toc264969230"/>
      <w:r/>
      <w:bookmarkStart w:id="589" w:name="_Toc164608654"/>
      <w:r/>
      <w:bookmarkStart w:id="590" w:name="_Toc151193638"/>
      <w:r/>
      <w:bookmarkStart w:id="591" w:name="_Toc265228378"/>
      <w:r/>
      <w:bookmarkStart w:id="592" w:name="_Toc305158882"/>
      <w:r>
        <w:rPr>
          <w:color w:val="000000"/>
          <w:sz w:val="24"/>
          <w:highlight w:val="none"/>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593" w:name="_Toc520356166"/>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规定。依法自行选定评审专家的，招标人和招标代理机构将查询有关信用记录，对具有行贿、受贿、欺诈等不良信用记录的人员，拒绝其参与政府采购活动。</w:t>
      </w:r>
      <w:bookmarkEnd w:id="593"/>
      <w:r/>
      <w:bookmarkStart w:id="594" w:name="_Toc520356169"/>
      <w:r>
        <w:rPr>
          <w:color w:val="000000"/>
          <w:sz w:val="24"/>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1005"/>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1007"/>
        <w:spacing w:before="0" w:line="360" w:lineRule="auto"/>
        <w:rPr>
          <w:rFonts w:ascii="Times New Roman" w:hAnsi="Times New Roman" w:eastAsia="宋体"/>
          <w:color w:val="000000"/>
          <w:sz w:val="28"/>
          <w:highlight w:val="none"/>
        </w:rPr>
      </w:pPr>
      <w:r/>
      <w:bookmarkStart w:id="595" w:name="_Toc226965818"/>
      <w:r/>
      <w:bookmarkStart w:id="596" w:name="_Toc264969235"/>
      <w:r/>
      <w:bookmarkStart w:id="597" w:name="_Toc151193715"/>
      <w:r/>
      <w:bookmarkStart w:id="598" w:name="_Toc150509296"/>
      <w:r/>
      <w:bookmarkStart w:id="599" w:name="_Toc151193643"/>
      <w:r/>
      <w:bookmarkStart w:id="600" w:name="_Toc265228383"/>
      <w:r/>
      <w:bookmarkStart w:id="601" w:name="_Toc226337241"/>
      <w:r/>
      <w:bookmarkStart w:id="602" w:name="_Toc151193933"/>
      <w:r/>
      <w:bookmarkStart w:id="603" w:name="_Toc127151545"/>
      <w:r/>
      <w:bookmarkStart w:id="604" w:name="_Toc195842910"/>
      <w:r/>
      <w:bookmarkStart w:id="605" w:name="_Toc150480783"/>
      <w:r/>
      <w:bookmarkStart w:id="606" w:name="_Toc305158887"/>
      <w:r/>
      <w:bookmarkStart w:id="607" w:name="_Toc150774645"/>
      <w:r/>
      <w:bookmarkStart w:id="608" w:name="_Toc305158813"/>
      <w:r/>
      <w:bookmarkStart w:id="609" w:name="_Toc226965735"/>
      <w:r/>
      <w:bookmarkStart w:id="610" w:name="_Toc151193859"/>
      <w:r/>
      <w:bookmarkStart w:id="611" w:name="_Toc226309789"/>
      <w:r/>
      <w:bookmarkStart w:id="612" w:name="_Toc151190172"/>
      <w:r/>
      <w:bookmarkStart w:id="613" w:name="_Toc151193787"/>
      <w:r/>
      <w:bookmarkStart w:id="614" w:name="_Toc150774750"/>
      <w:r/>
      <w:bookmarkStart w:id="615" w:name="_Toc142311047"/>
      <w:r>
        <w:rPr>
          <w:rFonts w:ascii="Times New Roman" w:hAnsi="Times New Roman" w:eastAsia="宋体"/>
          <w:color w:val="000000"/>
          <w:sz w:val="28"/>
          <w:highlight w:val="none"/>
        </w:rPr>
        <w:t xml:space="preserve">六   </w:t>
      </w:r>
      <w:bookmarkEnd w:id="594"/>
      <w:r>
        <w:rPr>
          <w:rFonts w:ascii="Times New Roman" w:hAnsi="Times New Roman" w:eastAsia="宋体"/>
          <w:color w:val="000000"/>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164229242"/>
      <w:r/>
      <w:bookmarkStart w:id="617" w:name="_Toc151190174"/>
      <w:r/>
      <w:bookmarkStart w:id="618" w:name="_Toc164608661"/>
      <w:r/>
      <w:bookmarkStart w:id="619" w:name="_Toc151193861"/>
      <w:r/>
      <w:bookmarkStart w:id="620" w:name="_Toc127151547"/>
      <w:r/>
      <w:bookmarkStart w:id="621" w:name="_Toc195842912"/>
      <w:r/>
      <w:bookmarkStart w:id="622" w:name="_Toc127161461"/>
      <w:r/>
      <w:bookmarkStart w:id="623" w:name="_Toc150509298"/>
      <w:r/>
      <w:bookmarkStart w:id="624" w:name="_Toc305158889"/>
      <w:r/>
      <w:bookmarkStart w:id="625" w:name="_Toc226309791"/>
      <w:r/>
      <w:bookmarkStart w:id="626" w:name="_Toc151193717"/>
      <w:r/>
      <w:bookmarkStart w:id="627" w:name="_Toc226965737"/>
      <w:r/>
      <w:bookmarkStart w:id="628" w:name="_Toc150480785"/>
      <w:r/>
      <w:bookmarkStart w:id="629" w:name="_Toc150774647"/>
      <w:r/>
      <w:bookmarkStart w:id="630" w:name="_Toc164229388"/>
      <w:r/>
      <w:bookmarkStart w:id="631" w:name="_Toc226337243"/>
      <w:r/>
      <w:bookmarkStart w:id="632" w:name="_Toc164608816"/>
      <w:r/>
      <w:bookmarkStart w:id="633" w:name="_Toc142311049"/>
      <w:r/>
      <w:bookmarkStart w:id="634" w:name="_Toc264969237"/>
      <w:r/>
      <w:bookmarkStart w:id="635" w:name="_Toc226965820"/>
      <w:r/>
      <w:bookmarkStart w:id="636" w:name="_Toc265228385"/>
      <w:r/>
      <w:bookmarkStart w:id="637" w:name="_Toc150774752"/>
      <w:r/>
      <w:bookmarkStart w:id="638" w:name="_Toc151193645"/>
      <w:r/>
      <w:bookmarkStart w:id="639" w:name="_Toc151193935"/>
      <w:r/>
      <w:bookmarkStart w:id="640" w:name="_Toc151193789"/>
      <w:r/>
      <w:bookmarkStart w:id="641" w:name="_Toc127151748"/>
      <w:r/>
      <w:bookmarkStart w:id="642" w:name="_Toc164351641"/>
      <w:r/>
      <w:bookmarkStart w:id="643" w:name="_Toc149720840"/>
      <w:r/>
      <w:bookmarkStart w:id="644" w:name="_Toc305158815"/>
      <w:r>
        <w:rPr>
          <w:rFonts w:ascii="Times New Roman" w:hAnsi="Times New Roman" w:eastAsia="宋体"/>
          <w:color w:val="000000"/>
          <w:sz w:val="28"/>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招标人将在评标报告确定的中标候选人名单中按顺序确定中标人，中标候选人并列的，由招标人</w:t>
      </w:r>
      <w:r>
        <w:rPr>
          <w:rFonts w:hint="eastAsia"/>
          <w:color w:val="000000"/>
          <w:sz w:val="24"/>
          <w:highlight w:val="none"/>
        </w:rPr>
        <w:t xml:space="preserve">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bookmarkStart w:id="645" w:name="_Toc150509300"/>
      <w:r/>
      <w:bookmarkStart w:id="646" w:name="_Toc195842914"/>
      <w:r/>
      <w:bookmarkStart w:id="647" w:name="_Toc265228387"/>
      <w:r/>
      <w:bookmarkStart w:id="648" w:name="_Toc305158817"/>
      <w:r/>
      <w:bookmarkStart w:id="649" w:name="_Toc150774754"/>
      <w:r/>
      <w:bookmarkStart w:id="650" w:name="_Toc164608663"/>
      <w:r/>
      <w:bookmarkStart w:id="651" w:name="_Toc226309793"/>
      <w:r/>
      <w:bookmarkStart w:id="652" w:name="_Toc164351643"/>
      <w:r/>
      <w:bookmarkStart w:id="653" w:name="_Ref467307090"/>
      <w:r/>
      <w:bookmarkStart w:id="654" w:name="_Ref467306425"/>
      <w:r/>
      <w:bookmarkStart w:id="655" w:name="_Toc520356176"/>
      <w:r/>
      <w:bookmarkStart w:id="656" w:name="_Toc127161463"/>
      <w:r/>
      <w:bookmarkStart w:id="657" w:name="_Toc226965739"/>
      <w:r/>
      <w:bookmarkStart w:id="658" w:name="_Toc226965822"/>
      <w:r/>
      <w:bookmarkStart w:id="659" w:name="_Toc127151549"/>
      <w:r/>
      <w:bookmarkStart w:id="660" w:name="_Toc164229244"/>
      <w:r/>
      <w:bookmarkStart w:id="661" w:name="_Toc164608818"/>
      <w:r/>
      <w:bookmarkStart w:id="662" w:name="_Toc305158891"/>
      <w:r/>
      <w:bookmarkStart w:id="663" w:name="_Toc127151750"/>
      <w:r/>
      <w:bookmarkStart w:id="664" w:name="_Toc164229390"/>
      <w:r/>
      <w:bookmarkStart w:id="665" w:name="_Toc226337245"/>
      <w:r/>
      <w:bookmarkStart w:id="666" w:name="_Toc150480787"/>
      <w:r/>
      <w:bookmarkStart w:id="667" w:name="_Toc151193863"/>
      <w:r/>
      <w:bookmarkStart w:id="668" w:name="_Toc151190176"/>
      <w:r/>
      <w:bookmarkStart w:id="669" w:name="_Toc150774649"/>
      <w:r/>
      <w:bookmarkStart w:id="670" w:name="_Toc149720842"/>
      <w:r/>
      <w:bookmarkStart w:id="671" w:name="_Toc142311051"/>
      <w:r/>
      <w:bookmarkStart w:id="672" w:name="_Toc151193937"/>
      <w:r/>
      <w:bookmarkStart w:id="673" w:name="_Toc264969239"/>
      <w:r/>
      <w:bookmarkStart w:id="674" w:name="_Toc151193647"/>
      <w:r/>
      <w:bookmarkStart w:id="675" w:name="_Toc151193791"/>
      <w:r/>
      <w:bookmarkStart w:id="676" w:name="_Toc151193719"/>
      <w:r>
        <w:rPr>
          <w:color w:val="000000"/>
          <w:sz w:val="24"/>
          <w:highlight w:val="none"/>
        </w:rPr>
        <w:t xml:space="preserve">中标公告与中标通知书</w:t>
      </w:r>
      <w:bookmarkEnd w:id="648"/>
      <w:r/>
      <w:bookmarkEnd w:id="662"/>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招标人或招标代理机构自中标人确定之日起2个工作日内，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中标通知书对招标人和中标供应商均具有法律效力。中标通知书发出后，招标人改变中标结果的，或者中标供应商放弃中标项目的，应当依法承担法律责任。</w:t>
      </w:r>
      <w:r>
        <w:rPr>
          <w:color w:val="000000"/>
          <w:sz w:val="24"/>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投标人的报价均超过了采购预算，招标人不能支付的；</w:t>
      </w:r>
      <w:r>
        <w:rPr>
          <w:color w:val="000000"/>
          <w:sz w:val="24"/>
          <w:highlight w:val="none"/>
        </w:rPr>
      </w:r>
      <w:r/>
    </w:p>
    <w:p>
      <w:pPr>
        <w:pStyle w:val="1005"/>
        <w:numPr>
          <w:ilvl w:val="2"/>
          <w:numId w:val="10"/>
        </w:numPr>
        <w:spacing w:line="360" w:lineRule="auto"/>
        <w:tabs>
          <w:tab w:val="left" w:pos="1980"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废标后，招标人将废标理由通知所有投标人。</w:t>
      </w:r>
      <w:r>
        <w:rPr>
          <w:color w:val="000000"/>
          <w:sz w:val="24"/>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bookmarkEnd w:id="645"/>
      <w:r/>
      <w:bookmarkEnd w:id="646"/>
      <w:r/>
      <w:bookmarkEnd w:id="647"/>
      <w:r/>
      <w:bookmarkEnd w:id="649"/>
      <w:r/>
      <w:bookmarkEnd w:id="650"/>
      <w:r/>
      <w:bookmarkEnd w:id="651"/>
      <w:r/>
      <w:bookmarkEnd w:id="652"/>
      <w:r/>
      <w:bookmarkEnd w:id="656"/>
      <w:r/>
      <w:bookmarkEnd w:id="657"/>
      <w:r/>
      <w:bookmarkEnd w:id="658"/>
      <w:r/>
      <w:bookmarkEnd w:id="659"/>
      <w:r/>
      <w:bookmarkEnd w:id="660"/>
      <w:r/>
      <w:bookmarkEnd w:id="661"/>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Start w:id="677" w:name="_Toc150774755"/>
      <w:r/>
      <w:bookmarkStart w:id="678" w:name="_Ref467306978"/>
      <w:r/>
      <w:bookmarkStart w:id="679" w:name="_Toc265228388"/>
      <w:r/>
      <w:bookmarkStart w:id="680" w:name="_Toc195842915"/>
      <w:r/>
      <w:bookmarkStart w:id="681" w:name="_Toc520356175"/>
      <w:r/>
      <w:bookmarkStart w:id="682" w:name="_Toc151193648"/>
      <w:r/>
      <w:bookmarkStart w:id="683" w:name="_Toc305158892"/>
      <w:r/>
      <w:bookmarkStart w:id="684" w:name="_Toc151193938"/>
      <w:r/>
      <w:bookmarkStart w:id="685" w:name="_Toc264969240"/>
      <w:r/>
      <w:bookmarkStart w:id="686" w:name="_Toc226965740"/>
      <w:r/>
      <w:bookmarkStart w:id="687" w:name="_Toc151193864"/>
      <w:r/>
      <w:bookmarkStart w:id="688" w:name="_Toc226309794"/>
      <w:r/>
      <w:bookmarkStart w:id="689" w:name="_Toc151193792"/>
      <w:r/>
      <w:bookmarkStart w:id="690" w:name="_Toc151190177"/>
      <w:r/>
      <w:bookmarkStart w:id="691" w:name="_Toc164229245"/>
      <w:r/>
      <w:bookmarkStart w:id="692" w:name="_Toc164608819"/>
      <w:r/>
      <w:bookmarkStart w:id="693" w:name="_Toc226337246"/>
      <w:r/>
      <w:bookmarkStart w:id="694" w:name="_Toc164608664"/>
      <w:r/>
      <w:bookmarkStart w:id="695" w:name="_Toc150509301"/>
      <w:r/>
      <w:bookmarkStart w:id="696" w:name="_Toc164351644"/>
      <w:r/>
      <w:bookmarkStart w:id="697" w:name="_Toc142311052"/>
      <w:r/>
      <w:bookmarkStart w:id="698" w:name="_Toc149720843"/>
      <w:r/>
      <w:bookmarkStart w:id="699" w:name="_Toc150480788"/>
      <w:r/>
      <w:bookmarkStart w:id="700" w:name="_Toc226965823"/>
      <w:r/>
      <w:bookmarkStart w:id="701" w:name="_Toc164229391"/>
      <w:r/>
      <w:bookmarkStart w:id="702" w:name="_Ref467306377"/>
      <w:r/>
      <w:bookmarkStart w:id="703" w:name="_Toc151193720"/>
      <w:r/>
      <w:bookmarkStart w:id="704" w:name="_Toc127161464"/>
      <w:r/>
      <w:bookmarkStart w:id="705" w:name="_Toc150774650"/>
      <w:r/>
      <w:bookmarkStart w:id="706" w:name="_Toc305158818"/>
      <w:r/>
      <w:bookmarkStart w:id="707" w:name="_Toc127151550"/>
      <w:r/>
      <w:bookmarkStart w:id="708" w:name="_Ref467307204"/>
      <w:r/>
      <w:bookmarkStart w:id="709" w:name="_Toc127151751"/>
      <w:r/>
      <w:bookmarkStart w:id="710" w:name="_Ref467307062"/>
      <w:r>
        <w:rPr>
          <w:color w:val="000000"/>
          <w:sz w:val="24"/>
          <w:highlight w:val="none"/>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中标人、招标人应当自中标通知书发出之日起30日内，按照招标文件和中标人投标文件的规定签订书面合同。所签订的合同不得对招标文件确定的事项和中标人投标文件作实质性修改。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与招标人签订合同的，招标人</w:t>
      </w:r>
      <w:r>
        <w:rPr>
          <w:rFonts w:hint="eastAsia"/>
          <w:color w:val="000000"/>
          <w:sz w:val="24"/>
          <w:highlight w:val="none"/>
        </w:rPr>
        <w:t xml:space="preserve">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联合体中标的，联合体各方应当共同与招标人签订合同，就中标项目向招标人承担连带责任。</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招标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。中标人就采购项目和分包项目向招标人负责，分包供应商就分包项目承担责任。</w:t>
      </w:r>
      <w:r>
        <w:rPr>
          <w:color w:val="000000"/>
          <w:sz w:val="24"/>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bookmarkEnd w:id="653"/>
      <w:r/>
      <w:bookmarkEnd w:id="654"/>
      <w:r/>
      <w:bookmarkEnd w:id="655"/>
      <w:r>
        <w:rPr>
          <w:color w:val="000000"/>
          <w:sz w:val="24"/>
          <w:highlight w:val="none"/>
        </w:rPr>
        <w:t xml:space="preserve">询问与质疑</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投标人对政府采购活动事项有疑问的，可依法提出询问，并按《投标人须知资料表》载明的形式送达招标人或招标代理机构。</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招标人或招标代理机构对供应商依法提出的询问，在3个工作日内作出答复，但答复的内容不得涉及商业秘密。</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1005"/>
        <w:numPr>
          <w:ilvl w:val="2"/>
          <w:numId w:val="10"/>
        </w:numPr>
        <w:spacing w:line="360" w:lineRule="auto"/>
        <w:tabs>
          <w:tab w:val="left" w:pos="1980" w:leader="none"/>
        </w:tabs>
        <w:rPr>
          <w:rFonts w:hint="eastAsia"/>
          <w:color w:val="000000"/>
          <w:sz w:val="24"/>
          <w:highlight w:val="none"/>
        </w:rPr>
      </w:pPr>
      <w:r>
        <w:rPr>
          <w:color w:val="000000"/>
          <w:sz w:val="24"/>
          <w:highlight w:val="none"/>
        </w:rPr>
        <w:t xml:space="preserve">投标人认为招标文件、采购过程、中标结果使自己的权益受到损害的，可以在知道或者应知其权益受到损害之日起7个工作日内，由投标人派授权代表以书面形式向招标人、招标代理机构提出质疑。招标人、招标代理机构在收到质疑函后7个工作日内作出答复。</w:t>
      </w:r>
      <w:r>
        <w:rPr>
          <w:rFonts w:hint="eastAsia"/>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rFonts w:hint="eastAsia" w:ascii="宋体" w:hAnsi="宋体"/>
          <w:b/>
          <w:color w:val="000000"/>
          <w:sz w:val="24"/>
          <w:highlight w:val="none"/>
        </w:rPr>
        <w:t xml:space="preserve">招标文件中采购需求以及相关部分（第四章、第五章以及投标人资格要求）由招标人负责制定和管理，对该部分内容有询问或者质疑的，投标人应当向招标人书面提出，由招标人负责接收和回复。</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090"/>
          <w:color w:val="000000"/>
          <w:highlight w:val="none"/>
        </w:rPr>
        <w:t xml:space="preserve">http</w:t>
      </w:r>
      <w:r>
        <w:rPr>
          <w:rStyle w:val="1090"/>
          <w:rFonts w:hint="eastAsia"/>
          <w:color w:val="000000"/>
          <w:highlight w:val="none"/>
        </w:rPr>
        <w:t xml:space="preserve">：</w:t>
      </w:r>
      <w:r>
        <w:rPr>
          <w:rStyle w:val="1090"/>
          <w:color w:val="000000"/>
          <w:highlight w:val="none"/>
        </w:rPr>
        <w:t xml:space="preserve">//gk</w:t>
      </w:r>
      <w:bookmarkStart w:id="711" w:name="_Hlt100654014"/>
      <w:r>
        <w:rPr>
          <w:rStyle w:val="1090"/>
          <w:color w:val="000000"/>
          <w:highlight w:val="none"/>
        </w:rPr>
        <w:t xml:space="preserve">s</w:t>
      </w:r>
      <w:bookmarkEnd w:id="711"/>
      <w:r>
        <w:rPr>
          <w:rStyle w:val="1090"/>
          <w:color w:val="000000"/>
          <w:highlight w:val="none"/>
        </w:rPr>
        <w:t xml:space="preserve">.m</w:t>
      </w:r>
      <w:bookmarkStart w:id="712" w:name="_Hlt100653993"/>
      <w:r/>
      <w:bookmarkStart w:id="713" w:name="_Hlt100653994"/>
      <w:r>
        <w:rPr>
          <w:rStyle w:val="1090"/>
          <w:color w:val="000000"/>
          <w:highlight w:val="none"/>
        </w:rPr>
        <w:t xml:space="preserve">o</w:t>
      </w:r>
      <w:bookmarkEnd w:id="712"/>
      <w:r/>
      <w:bookmarkEnd w:id="713"/>
      <w:r>
        <w:rPr>
          <w:rStyle w:val="1090"/>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1005"/>
        <w:numPr>
          <w:ilvl w:val="2"/>
          <w:numId w:val="10"/>
        </w:numPr>
        <w:spacing w:line="360" w:lineRule="auto"/>
        <w:tabs>
          <w:tab w:val="left" w:pos="1980"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1005"/>
        <w:numPr>
          <w:ilvl w:val="2"/>
          <w:numId w:val="10"/>
        </w:numPr>
        <w:spacing w:line="360" w:lineRule="auto"/>
        <w:tabs>
          <w:tab w:val="left" w:pos="1980"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投标人应在法定质疑期内一次性提出针对同一采购程序环节的质疑，法定质疑期内针对同一采购程序环节再次提出的质疑，招标人、招标代理机构有权不予答复。</w:t>
      </w:r>
      <w:r>
        <w:rPr>
          <w:rFonts w:hint="eastAsia"/>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1005"/>
        <w:numPr>
          <w:ilvl w:val="0"/>
          <w:numId w:val="10"/>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1005"/>
        <w:numPr>
          <w:ilvl w:val="1"/>
          <w:numId w:val="10"/>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收费对象、收费标准及缴纳时间见《投标人须知资料表》。由中标人支付的，中标人须一次性向招标代理机构缴纳代理费，投标报价应包含代理费用。</w:t>
      </w:r>
      <w:r>
        <w:rPr>
          <w:color w:val="000000"/>
          <w:sz w:val="24"/>
          <w:highlight w:val="none"/>
        </w:rPr>
      </w:r>
      <w:r/>
    </w:p>
    <w:p>
      <w:pPr>
        <w:pStyle w:val="1005"/>
        <w:spacing w:line="360" w:lineRule="auto"/>
        <w:tabs>
          <w:tab w:val="left" w:pos="900" w:leader="none"/>
          <w:tab w:val="left" w:pos="1080" w:leader="none"/>
          <w:tab w:val="left" w:pos="1589" w:leader="none"/>
        </w:tabs>
        <w:rPr>
          <w:color w:val="000000"/>
          <w:sz w:val="24"/>
          <w:highlight w:val="none"/>
        </w:rPr>
      </w:pPr>
      <w:r>
        <w:rPr>
          <w:rFonts w:hint="eastAsia"/>
          <w:color w:val="000000"/>
          <w:sz w:val="24"/>
          <w:highlight w:val="none"/>
        </w:rPr>
        <w:t xml:space="preserve">   27.2  集中采购机构不收取代理费。</w:t>
      </w:r>
      <w:r>
        <w:rPr>
          <w:color w:val="000000"/>
          <w:sz w:val="24"/>
          <w:highlight w:val="none"/>
        </w:rPr>
      </w:r>
      <w:r/>
    </w:p>
    <w:p>
      <w:pPr>
        <w:pStyle w:val="1005"/>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1005"/>
        <w:jc w:val="center"/>
        <w:spacing w:line="360" w:lineRule="auto"/>
        <w:rPr>
          <w:b/>
          <w:color w:val="000000"/>
          <w:sz w:val="36"/>
          <w:szCs w:val="36"/>
          <w:highlight w:val="none"/>
        </w:rPr>
        <w:outlineLvl w:val="0"/>
      </w:pPr>
      <w:r/>
      <w:bookmarkStart w:id="714" w:name="_Toc226965827"/>
      <w:r/>
      <w:bookmarkStart w:id="715" w:name="_Toc353873664"/>
      <w:r/>
      <w:bookmarkStart w:id="716" w:name="_Toc353873934"/>
      <w:r/>
      <w:bookmarkStart w:id="717" w:name="_Toc127151554"/>
      <w:r/>
      <w:bookmarkStart w:id="718" w:name="_Toc150480792"/>
      <w:r/>
      <w:bookmarkStart w:id="719" w:name="_Toc150774759"/>
      <w:r/>
      <w:bookmarkStart w:id="720" w:name="_Toc305158896"/>
      <w:r/>
      <w:bookmarkStart w:id="721" w:name="_Toc264969244"/>
      <w:r/>
      <w:bookmarkStart w:id="722" w:name="_Toc226337250"/>
      <w:r/>
      <w:bookmarkStart w:id="723" w:name="_Toc305158822"/>
      <w:r/>
      <w:bookmarkStart w:id="724" w:name="_Toc265228392"/>
      <w:r/>
      <w:bookmarkStart w:id="725" w:name="_Toc353825544"/>
      <w:r/>
      <w:bookmarkStart w:id="726" w:name="_Toc142311056"/>
      <w:r>
        <w:rPr>
          <w:color w:val="000000"/>
          <w:sz w:val="24"/>
          <w:highlight w:val="none"/>
        </w:rPr>
        <w:br w:type="page" w:clear="all"/>
      </w:r>
      <w:bookmarkStart w:id="727" w:name="_Toc17622"/>
      <w:r>
        <w:rPr>
          <w:b/>
          <w:color w:val="000000"/>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color w:val="000000"/>
          <w:sz w:val="36"/>
          <w:szCs w:val="36"/>
          <w:highlight w:val="none"/>
        </w:rPr>
        <w:t xml:space="preserve">资格审查</w:t>
      </w:r>
      <w:bookmarkEnd w:id="727"/>
      <w:r/>
      <w:bookmarkStart w:id="728" w:name="_Toc487900382"/>
      <w:r>
        <w:rPr>
          <w:b/>
          <w:color w:val="000000"/>
          <w:sz w:val="36"/>
          <w:szCs w:val="36"/>
          <w:highlight w:val="none"/>
        </w:rPr>
      </w:r>
      <w:r/>
    </w:p>
    <w:p>
      <w:pPr>
        <w:pStyle w:val="1005"/>
        <w:jc w:val="center"/>
        <w:spacing w:line="360" w:lineRule="auto"/>
        <w:tabs>
          <w:tab w:val="left" w:pos="360" w:leader="none"/>
          <w:tab w:val="left" w:pos="900" w:leader="none"/>
        </w:tabs>
        <w:rPr>
          <w:b/>
          <w:color w:val="000000"/>
          <w:sz w:val="24"/>
          <w:highlight w:val="none"/>
        </w:rPr>
        <w:outlineLvl w:val="1"/>
      </w:pPr>
      <w:r/>
      <w:bookmarkStart w:id="729" w:name="_Toc99301422"/>
      <w:r>
        <w:rPr>
          <w:b/>
          <w:color w:val="000000"/>
          <w:sz w:val="24"/>
          <w:highlight w:val="none"/>
        </w:rPr>
        <w:t xml:space="preserve">一、资格审查程序</w:t>
      </w:r>
      <w:bookmarkEnd w:id="729"/>
      <w:r>
        <w:rPr>
          <w:b/>
          <w:color w:val="000000"/>
          <w:sz w:val="24"/>
          <w:highlight w:val="none"/>
        </w:rPr>
      </w:r>
      <w:r/>
    </w:p>
    <w:p>
      <w:pPr>
        <w:pStyle w:val="1005"/>
        <w:numPr>
          <w:ilvl w:val="0"/>
          <w:numId w:val="13"/>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开标结束后，招标人将根据《资格审查要求》中的规定，对投标人进行资格审查，并形成资格审查结果。</w:t>
      </w:r>
      <w:r>
        <w:rPr>
          <w:color w:val="000000"/>
          <w:sz w:val="24"/>
          <w:highlight w:val="none"/>
        </w:rPr>
      </w:r>
      <w:r/>
    </w:p>
    <w:p>
      <w:pPr>
        <w:pStyle w:val="1005"/>
        <w:numPr>
          <w:ilvl w:val="0"/>
          <w:numId w:val="13"/>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w:t>
      </w:r>
      <w:r>
        <w:rPr>
          <w:rFonts w:hint="eastAsia"/>
          <w:color w:val="000000"/>
          <w:sz w:val="24"/>
          <w:highlight w:val="none"/>
          <w:lang w:eastAsia="zh-CN"/>
        </w:rPr>
        <w:t xml:space="preserve">“</w:t>
      </w:r>
      <w:r>
        <w:rPr>
          <w:color w:val="000000"/>
          <w:sz w:val="24"/>
          <w:highlight w:val="none"/>
        </w:rPr>
        <w:t xml:space="preserve">实质性格式</w:t>
      </w:r>
      <w:r>
        <w:rPr>
          <w:rFonts w:hint="eastAsia"/>
          <w:color w:val="000000"/>
          <w:sz w:val="24"/>
          <w:highlight w:val="none"/>
          <w:lang w:eastAsia="zh-CN"/>
        </w:rPr>
        <w:t xml:space="preserve">”</w:t>
      </w:r>
      <w:r>
        <w:rPr>
          <w:color w:val="000000"/>
          <w:sz w:val="24"/>
          <w:highlight w:val="none"/>
        </w:rPr>
        <w:t xml:space="preserve">文件。</w:t>
      </w:r>
      <w:r>
        <w:rPr>
          <w:color w:val="000000"/>
          <w:sz w:val="24"/>
          <w:highlight w:val="none"/>
        </w:rPr>
      </w:r>
      <w:r/>
    </w:p>
    <w:p>
      <w:pPr>
        <w:pStyle w:val="1005"/>
        <w:numPr>
          <w:ilvl w:val="0"/>
          <w:numId w:val="13"/>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5"/>
        <w:numPr>
          <w:ilvl w:val="0"/>
          <w:numId w:val="13"/>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w:t>
      </w:r>
      <w:r>
        <w:rPr>
          <w:rFonts w:hint="eastAsia"/>
          <w:color w:val="000000"/>
          <w:sz w:val="24"/>
          <w:highlight w:val="none"/>
        </w:rPr>
        <w:t xml:space="preserve">本项目</w:t>
      </w:r>
      <w:r>
        <w:rPr>
          <w:color w:val="000000"/>
          <w:sz w:val="24"/>
          <w:highlight w:val="none"/>
        </w:rPr>
        <w:t xml:space="preserve">不进行评标。</w:t>
      </w:r>
      <w:r>
        <w:rPr>
          <w:color w:val="000000"/>
          <w:sz w:val="24"/>
          <w:highlight w:val="none"/>
        </w:rPr>
      </w:r>
      <w:r/>
    </w:p>
    <w:p>
      <w:pPr>
        <w:pStyle w:val="1005"/>
        <w:jc w:val="left"/>
        <w:widowControl/>
        <w:rPr>
          <w:color w:val="000000"/>
          <w:sz w:val="24"/>
          <w:highlight w:val="none"/>
        </w:rPr>
      </w:pPr>
      <w:r>
        <w:rPr>
          <w:color w:val="000000"/>
          <w:sz w:val="24"/>
          <w:highlight w:val="none"/>
        </w:rPr>
      </w:r>
      <w:r/>
    </w:p>
    <w:p>
      <w:pPr>
        <w:pStyle w:val="1005"/>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53"/>
        <w:gridCol w:w="4822"/>
        <w:gridCol w:w="1638"/>
      </w:tblGrid>
      <w:tr>
        <w:trPr>
          <w:cantSplit/>
          <w:trHeight w:val="468"/>
          <w:tblHeader/>
        </w:trPr>
        <w:tc>
          <w:tcPr>
            <w:tcW w:w="851" w:type="dxa"/>
            <w:vAlign w:val="center"/>
            <w:textDirection w:val="lrTb"/>
            <w:noWrap w:val="false"/>
          </w:tcPr>
          <w:p>
            <w:pPr>
              <w:pStyle w:val="1005"/>
              <w:jc w:val="center"/>
              <w:tabs>
                <w:tab w:val="left" w:pos="1080" w:leader="none"/>
              </w:tabs>
              <w:rPr>
                <w:b/>
                <w:color w:val="000000"/>
                <w:sz w:val="24"/>
                <w:highlight w:val="none"/>
              </w:rPr>
            </w:pPr>
            <w:r/>
            <w:bookmarkStart w:id="730" w:name="_Hlt487972895"/>
            <w:r/>
            <w:bookmarkEnd w:id="730"/>
            <w:r>
              <w:rPr>
                <w:b/>
                <w:color w:val="000000"/>
                <w:sz w:val="24"/>
                <w:highlight w:val="none"/>
              </w:rPr>
              <w:t xml:space="preserve">序号</w:t>
            </w:r>
            <w:r>
              <w:rPr>
                <w:b/>
                <w:color w:val="000000"/>
                <w:sz w:val="24"/>
                <w:highlight w:val="none"/>
              </w:rPr>
            </w:r>
            <w:r/>
          </w:p>
        </w:tc>
        <w:tc>
          <w:tcPr>
            <w:tcW w:w="2153" w:type="dxa"/>
            <w:vAlign w:val="center"/>
            <w:textDirection w:val="lrTb"/>
            <w:noWrap w:val="false"/>
          </w:tcPr>
          <w:p>
            <w:pPr>
              <w:pStyle w:val="1005"/>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822" w:type="dxa"/>
            <w:vAlign w:val="center"/>
            <w:textDirection w:val="lrTb"/>
            <w:noWrap w:val="false"/>
          </w:tcPr>
          <w:p>
            <w:pPr>
              <w:pStyle w:val="1005"/>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638" w:type="dxa"/>
            <w:vAlign w:val="center"/>
            <w:textDirection w:val="lrTb"/>
            <w:noWrap w:val="false"/>
          </w:tcPr>
          <w:p>
            <w:pPr>
              <w:pStyle w:val="1005"/>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851" w:type="dxa"/>
            <w:vAlign w:val="center"/>
            <w:textDirection w:val="lrTb"/>
            <w:noWrap w:val="false"/>
          </w:tcPr>
          <w:p>
            <w:pPr>
              <w:pStyle w:val="1005"/>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2153"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4822"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1638" w:type="dxa"/>
            <w:vAlign w:val="center"/>
            <w:textDirection w:val="lrTb"/>
            <w:noWrap w:val="false"/>
          </w:tcPr>
          <w:p>
            <w:pPr>
              <w:pStyle w:val="1005"/>
              <w:tabs>
                <w:tab w:val="left" w:pos="1080" w:leader="none"/>
              </w:tabs>
              <w:rPr>
                <w:color w:val="000000"/>
                <w:sz w:val="24"/>
                <w:highlight w:val="none"/>
              </w:rPr>
            </w:pPr>
            <w:r>
              <w:rPr>
                <w:color w:val="000000"/>
                <w:sz w:val="24"/>
                <w:highlight w:val="none"/>
              </w:rPr>
            </w:r>
            <w:r/>
          </w:p>
        </w:tc>
      </w:tr>
      <w:tr>
        <w:trPr>
          <w:cantSplit/>
          <w:trHeight w:val="468"/>
        </w:trPr>
        <w:tc>
          <w:tcPr>
            <w:tcW w:w="851" w:type="dxa"/>
            <w:vAlign w:val="center"/>
            <w:textDirection w:val="lrTb"/>
            <w:noWrap w:val="false"/>
          </w:tcPr>
          <w:p>
            <w:pPr>
              <w:pStyle w:val="1005"/>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2153" w:type="dxa"/>
            <w:vAlign w:val="center"/>
            <w:textDirection w:val="lrTb"/>
            <w:noWrap w:val="false"/>
          </w:tcPr>
          <w:p>
            <w:pPr>
              <w:pStyle w:val="1005"/>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4822"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51" w:type="dxa"/>
            <w:vAlign w:val="center"/>
            <w:textDirection w:val="lrTb"/>
            <w:noWrap w:val="false"/>
          </w:tcPr>
          <w:p>
            <w:pPr>
              <w:pStyle w:val="1005"/>
              <w:jc w:val="center"/>
              <w:tabs>
                <w:tab w:val="left" w:pos="1080" w:leader="none"/>
              </w:tabs>
              <w:rPr>
                <w:color w:val="000000"/>
                <w:sz w:val="24"/>
                <w:highlight w:val="none"/>
              </w:rPr>
            </w:pPr>
            <w:r>
              <w:rPr>
                <w:rFonts w:hint="eastAsia"/>
                <w:color w:val="000000"/>
                <w:sz w:val="24"/>
                <w:highlight w:val="none"/>
              </w:rPr>
              <w:t xml:space="preserve">1-2</w:t>
            </w:r>
            <w:r>
              <w:rPr>
                <w:color w:val="000000"/>
                <w:sz w:val="24"/>
                <w:highlight w:val="none"/>
              </w:rPr>
            </w:r>
            <w:r/>
          </w:p>
        </w:tc>
        <w:tc>
          <w:tcPr>
            <w:tcW w:w="2153"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822"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1005"/>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资格审查阶段招标人或</w:t>
            </w:r>
            <w:r>
              <w:rPr>
                <w:color w:val="000000"/>
                <w:sz w:val="24"/>
                <w:highlight w:val="none"/>
              </w:rPr>
              <w:t xml:space="preserve">招标代理机构的实际查询时间；</w:t>
            </w:r>
            <w:r>
              <w:rPr>
                <w:color w:val="000000"/>
                <w:sz w:val="24"/>
                <w:highlight w:val="none"/>
              </w:rPr>
            </w:r>
            <w:r/>
          </w:p>
          <w:p>
            <w:pPr>
              <w:pStyle w:val="1005"/>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信用信息查询记录和证据留存具体方式：查询结果网页打印页作为查询记录和证据，与其他招标文件一并保存；</w:t>
            </w:r>
            <w:r>
              <w:rPr>
                <w:color w:val="000000"/>
                <w:sz w:val="24"/>
                <w:highlight w:val="none"/>
              </w:rPr>
            </w:r>
            <w:r/>
          </w:p>
          <w:p>
            <w:pPr>
              <w:pStyle w:val="1005"/>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1638"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无须投标人提供，由招标人查询。</w:t>
            </w:r>
            <w:r>
              <w:rPr>
                <w:color w:val="000000"/>
                <w:sz w:val="24"/>
                <w:highlight w:val="none"/>
              </w:rPr>
            </w:r>
            <w:r/>
          </w:p>
        </w:tc>
      </w:tr>
      <w:tr>
        <w:trPr>
          <w:cantSplit/>
          <w:trHeight w:val="468"/>
        </w:trPr>
        <w:tc>
          <w:tcPr>
            <w:tcW w:w="851" w:type="dxa"/>
            <w:vAlign w:val="center"/>
            <w:textDirection w:val="lrTb"/>
            <w:noWrap w:val="false"/>
          </w:tcPr>
          <w:p>
            <w:pPr>
              <w:pStyle w:val="1005"/>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2153"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822"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1638" w:type="dxa"/>
            <w:vAlign w:val="center"/>
            <w:textDirection w:val="lrTb"/>
            <w:noWrap w:val="false"/>
          </w:tcPr>
          <w:p>
            <w:pPr>
              <w:pStyle w:val="1005"/>
              <w:tabs>
                <w:tab w:val="left" w:pos="1080" w:leader="none"/>
              </w:tabs>
              <w:rPr>
                <w:color w:val="000000"/>
                <w:sz w:val="24"/>
                <w:highlight w:val="none"/>
              </w:rPr>
            </w:pPr>
            <w:r>
              <w:rPr>
                <w:color w:val="000000"/>
                <w:sz w:val="24"/>
                <w:highlight w:val="none"/>
              </w:rPr>
            </w:r>
            <w:r/>
          </w:p>
        </w:tc>
      </w:tr>
      <w:tr>
        <w:trPr>
          <w:cantSplit/>
          <w:trHeight w:val="468"/>
        </w:trPr>
        <w:tc>
          <w:tcPr>
            <w:tcW w:w="851" w:type="dxa"/>
            <w:vAlign w:val="center"/>
            <w:textDirection w:val="lrTb"/>
            <w:noWrap w:val="false"/>
          </w:tcPr>
          <w:p>
            <w:pPr>
              <w:pStyle w:val="1005"/>
              <w:jc w:val="center"/>
              <w:tabs>
                <w:tab w:val="left" w:pos="1080" w:leader="none"/>
              </w:tabs>
              <w:rPr>
                <w:color w:val="000000"/>
                <w:sz w:val="24"/>
                <w:highlight w:val="none"/>
              </w:rPr>
            </w:pPr>
            <w:r>
              <w:rPr>
                <w:color w:val="000000"/>
                <w:sz w:val="24"/>
                <w:highlight w:val="none"/>
              </w:rPr>
              <w:t xml:space="preserve">2-1</w:t>
            </w:r>
            <w:r>
              <w:rPr>
                <w:color w:val="000000"/>
                <w:sz w:val="24"/>
                <w:highlight w:val="none"/>
              </w:rPr>
            </w:r>
            <w:r/>
          </w:p>
        </w:tc>
        <w:tc>
          <w:tcPr>
            <w:tcW w:w="2153"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中小企业声明函</w:t>
            </w:r>
            <w:r>
              <w:rPr>
                <w:color w:val="000000"/>
                <w:sz w:val="24"/>
                <w:highlight w:val="none"/>
              </w:rPr>
            </w:r>
            <w:r/>
          </w:p>
        </w:tc>
        <w:tc>
          <w:tcPr>
            <w:tcW w:w="4822" w:type="dxa"/>
            <w:vAlign w:val="center"/>
            <w:textDirection w:val="lrTb"/>
            <w:noWrap w:val="false"/>
          </w:tcPr>
          <w:p>
            <w:pPr>
              <w:pStyle w:val="1005"/>
              <w:tabs>
                <w:tab w:val="left" w:pos="1080" w:leader="none"/>
              </w:tabs>
              <w:rPr>
                <w:color w:val="000000"/>
                <w:sz w:val="24"/>
                <w:highlight w:val="none"/>
              </w:rPr>
            </w:pPr>
            <w:r>
              <w:rPr>
                <w:rFonts w:hint="eastAsia"/>
                <w:color w:val="000000"/>
                <w:sz w:val="24"/>
                <w:highlight w:val="none"/>
              </w:rPr>
              <w:t xml:space="preserve">1、投标人单独投标的，应提供中小企业声明函；如为监狱企业或</w:t>
            </w:r>
            <w:r>
              <w:rPr>
                <w:color w:val="000000"/>
                <w:sz w:val="24"/>
                <w:highlight w:val="none"/>
              </w:rPr>
              <w:t xml:space="preserve">残疾人福利性单位</w:t>
            </w:r>
            <w:r>
              <w:rPr>
                <w:rFonts w:hint="eastAsia"/>
                <w:color w:val="000000"/>
                <w:sz w:val="24"/>
                <w:highlight w:val="none"/>
              </w:rPr>
              <w:t xml:space="preserve">，不必提供中小企业声明函，但须按注1或注2要求提供证明材料。</w:t>
            </w:r>
            <w:r>
              <w:rPr>
                <w:color w:val="000000"/>
                <w:sz w:val="24"/>
                <w:highlight w:val="none"/>
              </w:rPr>
            </w:r>
            <w:r/>
          </w:p>
          <w:p>
            <w:pPr>
              <w:pStyle w:val="1005"/>
              <w:tabs>
                <w:tab w:val="left" w:pos="1080" w:leader="none"/>
              </w:tabs>
              <w:rPr>
                <w:color w:val="000000"/>
                <w:sz w:val="24"/>
                <w:highlight w:val="none"/>
              </w:rPr>
            </w:pPr>
            <w:r>
              <w:rPr>
                <w:rFonts w:hint="eastAsia"/>
                <w:color w:val="000000"/>
                <w:sz w:val="24"/>
                <w:highlight w:val="none"/>
              </w:rPr>
              <w:t xml:space="preserve">注1：</w:t>
            </w:r>
            <w:r>
              <w:rPr>
                <w:color w:val="000000"/>
                <w:sz w:val="24"/>
                <w:highlight w:val="none"/>
              </w:rPr>
              <w:t xml:space="preserve">监狱企业须提供由省级以上监狱管理局（常州市含教育矫治局）、戒毒管理局（含新疆生产建设兵团）出具的属于监狱企业的证明文件。</w:t>
            </w:r>
            <w:r>
              <w:rPr>
                <w:color w:val="000000"/>
                <w:sz w:val="24"/>
                <w:highlight w:val="none"/>
              </w:rPr>
            </w:r>
            <w:r/>
          </w:p>
          <w:p>
            <w:pPr>
              <w:pStyle w:val="1005"/>
              <w:tabs>
                <w:tab w:val="left" w:pos="1080" w:leader="none"/>
              </w:tabs>
              <w:rPr>
                <w:color w:val="000000"/>
                <w:sz w:val="24"/>
                <w:highlight w:val="none"/>
              </w:rPr>
            </w:pPr>
            <w:r>
              <w:rPr>
                <w:rFonts w:hint="eastAsia"/>
                <w:color w:val="000000"/>
                <w:sz w:val="24"/>
                <w:highlight w:val="none"/>
              </w:rPr>
              <w:t xml:space="preserve">注2：</w:t>
            </w:r>
            <w:r>
              <w:rPr>
                <w:color w:val="000000"/>
                <w:sz w:val="24"/>
                <w:highlight w:val="none"/>
              </w:rPr>
              <w:t xml:space="preserve">残疾人福利性单位须按招标文件要求提供《残疾人福利性单位声明函》。</w:t>
            </w:r>
            <w:r>
              <w:rPr>
                <w:color w:val="000000"/>
                <w:sz w:val="24"/>
                <w:highlight w:val="none"/>
              </w:rPr>
            </w:r>
            <w:r/>
          </w:p>
        </w:tc>
        <w:tc>
          <w:tcPr>
            <w:tcW w:w="1638"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51" w:type="dxa"/>
            <w:vAlign w:val="center"/>
            <w:textDirection w:val="lrTb"/>
            <w:noWrap w:val="false"/>
          </w:tcPr>
          <w:p>
            <w:pPr>
              <w:pStyle w:val="1005"/>
              <w:jc w:val="center"/>
              <w:tabs>
                <w:tab w:val="left" w:pos="1080" w:leader="none"/>
              </w:tabs>
              <w:rPr>
                <w:color w:val="000000"/>
                <w:sz w:val="24"/>
                <w:highlight w:val="none"/>
              </w:rPr>
            </w:pPr>
            <w:r>
              <w:rPr>
                <w:color w:val="000000"/>
                <w:sz w:val="24"/>
                <w:highlight w:val="none"/>
              </w:rPr>
              <w:t xml:space="preserve">2-2</w:t>
            </w:r>
            <w:r>
              <w:rPr>
                <w:color w:val="000000"/>
                <w:sz w:val="24"/>
                <w:highlight w:val="none"/>
              </w:rPr>
            </w:r>
            <w:r/>
          </w:p>
        </w:tc>
        <w:tc>
          <w:tcPr>
            <w:tcW w:w="2153"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4822"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1638"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r>
        <w:trPr>
          <w:cantSplit/>
          <w:trHeight w:val="468"/>
        </w:trPr>
        <w:tc>
          <w:tcPr>
            <w:tcW w:w="851" w:type="dxa"/>
            <w:vAlign w:val="center"/>
            <w:textDirection w:val="lrTb"/>
            <w:noWrap w:val="false"/>
          </w:tcPr>
          <w:p>
            <w:pPr>
              <w:pStyle w:val="1005"/>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2153"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4822"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1638" w:type="dxa"/>
            <w:vAlign w:val="center"/>
            <w:textDirection w:val="lrTb"/>
            <w:noWrap w:val="false"/>
          </w:tcPr>
          <w:p>
            <w:pPr>
              <w:pStyle w:val="1005"/>
              <w:tabs>
                <w:tab w:val="left" w:pos="1080" w:leader="none"/>
              </w:tabs>
              <w:rPr>
                <w:color w:val="000000"/>
                <w:sz w:val="24"/>
                <w:highlight w:val="none"/>
              </w:rPr>
            </w:pPr>
            <w:r>
              <w:rPr>
                <w:color w:val="000000"/>
                <w:sz w:val="24"/>
                <w:highlight w:val="none"/>
              </w:rPr>
            </w:r>
            <w:r/>
          </w:p>
        </w:tc>
      </w:tr>
      <w:tr>
        <w:trPr>
          <w:cantSplit/>
          <w:trHeight w:val="4548"/>
        </w:trPr>
        <w:tc>
          <w:tcPr>
            <w:tcW w:w="851" w:type="dxa"/>
            <w:vAlign w:val="center"/>
            <w:textDirection w:val="lrTb"/>
            <w:noWrap w:val="false"/>
          </w:tcPr>
          <w:p>
            <w:pPr>
              <w:pStyle w:val="1005"/>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2153"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4822"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highlight w:val="none"/>
              </w:rPr>
              <w:t xml:space="preserve">牵头</w:t>
            </w:r>
            <w:r>
              <w:rPr>
                <w:color w:val="000000"/>
                <w:sz w:val="24"/>
                <w:highlight w:val="none"/>
              </w:rPr>
              <w:t xml:space="preserve">、协调工作。该联合协议应当作为投标文件的组成部分，与投标文件其他内容同时递交。</w:t>
            </w:r>
            <w:r>
              <w:rPr>
                <w:color w:val="000000"/>
                <w:sz w:val="24"/>
                <w:highlight w:val="none"/>
              </w:rPr>
            </w:r>
            <w:r/>
          </w:p>
          <w:p>
            <w:pPr>
              <w:pStyle w:val="1005"/>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联合体各成员单位均须提供本表中序号1-1、1-2的证明文件。</w:t>
            </w:r>
            <w:r>
              <w:rPr>
                <w:color w:val="000000"/>
                <w:sz w:val="24"/>
                <w:highlight w:val="none"/>
              </w:rPr>
            </w:r>
            <w:r/>
          </w:p>
          <w:p>
            <w:pPr>
              <w:pStyle w:val="1005"/>
              <w:tabs>
                <w:tab w:val="left" w:pos="1080" w:leader="none"/>
              </w:tabs>
              <w:rPr>
                <w:color w:val="000000"/>
                <w:sz w:val="24"/>
                <w:highlight w:val="none"/>
              </w:rPr>
            </w:pPr>
            <w:r>
              <w:rPr>
                <w:rFonts w:hint="eastAsia"/>
                <w:color w:val="000000"/>
                <w:sz w:val="24"/>
                <w:highlight w:val="none"/>
              </w:rPr>
              <w:t xml:space="preserve">3、本表序号3-2项规定的其他特定资格要求中的每一小项要求，联合体各方中至少应当有一方符合本表中其他资格要求并提供证明文件。</w:t>
            </w:r>
            <w:r>
              <w:rPr>
                <w:color w:val="000000"/>
                <w:sz w:val="24"/>
                <w:highlight w:val="none"/>
              </w:rPr>
            </w:r>
            <w:r/>
          </w:p>
          <w:p>
            <w:pPr>
              <w:pStyle w:val="1005"/>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1005"/>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1005"/>
              <w:tabs>
                <w:tab w:val="left" w:pos="1080" w:leader="none"/>
              </w:tabs>
              <w:rPr>
                <w:color w:val="000000"/>
                <w:sz w:val="24"/>
                <w:highlight w:val="none"/>
              </w:rPr>
            </w:pPr>
            <w:r>
              <w:rPr>
                <w:color w:val="000000"/>
                <w:sz w:val="24"/>
                <w:highlight w:val="none"/>
              </w:rPr>
              <w:t xml:space="preserve">6、若联合体中任一成员单位中途退出，则该联合体的</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5"/>
              <w:tabs>
                <w:tab w:val="left" w:pos="1080" w:leader="none"/>
              </w:tabs>
              <w:rPr>
                <w:color w:val="000000"/>
                <w:sz w:val="24"/>
                <w:highlight w:val="none"/>
              </w:rPr>
            </w:pPr>
            <w:r>
              <w:rPr>
                <w:color w:val="000000"/>
                <w:sz w:val="24"/>
                <w:highlight w:val="none"/>
              </w:rPr>
              <w:t xml:space="preserve">7、本项目不接受联合体投标</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投标人不得为联合体</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提供《联合协议》</w:t>
            </w:r>
            <w:r>
              <w:rPr>
                <w:rFonts w:hint="eastAsia"/>
                <w:color w:val="000000"/>
                <w:sz w:val="24"/>
                <w:highlight w:val="none"/>
              </w:rPr>
              <w:t xml:space="preserve">原</w:t>
            </w:r>
            <w:r>
              <w:rPr>
                <w:color w:val="000000"/>
                <w:sz w:val="24"/>
                <w:highlight w:val="none"/>
              </w:rPr>
              <w:t xml:space="preserve">件的电子件</w:t>
            </w:r>
            <w:r>
              <w:rPr>
                <w:color w:val="000000"/>
                <w:sz w:val="24"/>
                <w:highlight w:val="none"/>
              </w:rPr>
            </w:r>
            <w:r/>
          </w:p>
          <w:p>
            <w:pPr>
              <w:pStyle w:val="1005"/>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0"/>
        </w:trPr>
        <w:tc>
          <w:tcPr>
            <w:tcW w:w="851" w:type="dxa"/>
            <w:vAlign w:val="center"/>
            <w:textDirection w:val="lrTb"/>
            <w:noWrap w:val="false"/>
          </w:tcPr>
          <w:p>
            <w:pPr>
              <w:pStyle w:val="1005"/>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2153"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4822"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1638" w:type="dxa"/>
            <w:vAlign w:val="center"/>
            <w:textDirection w:val="lrTb"/>
            <w:noWrap w:val="false"/>
          </w:tcPr>
          <w:p>
            <w:pPr>
              <w:pStyle w:val="1005"/>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bl>
    <w:p>
      <w:pPr>
        <w:pStyle w:val="1005"/>
        <w:jc w:val="center"/>
        <w:spacing w:line="360" w:lineRule="auto"/>
        <w:rPr>
          <w:b/>
          <w:color w:val="000000"/>
          <w:sz w:val="36"/>
          <w:szCs w:val="36"/>
          <w:highlight w:val="none"/>
        </w:rPr>
        <w:outlineLvl w:val="0"/>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8"/>
      <w:r/>
      <w:bookmarkStart w:id="731" w:name="_Toc353825550"/>
      <w:r/>
      <w:bookmarkStart w:id="732" w:name="_Toc127151779"/>
      <w:r/>
      <w:bookmarkStart w:id="733" w:name="_Toc226965858"/>
      <w:r/>
      <w:bookmarkStart w:id="734" w:name="_Toc353873940"/>
      <w:r/>
      <w:bookmarkStart w:id="735" w:name="_Toc127161490"/>
      <w:r>
        <w:rPr>
          <w:color w:val="000000"/>
          <w:sz w:val="24"/>
          <w:highlight w:val="none"/>
        </w:rPr>
        <w:br w:type="page" w:clear="all"/>
      </w:r>
      <w:bookmarkStart w:id="736" w:name="_Toc7435"/>
      <w:r>
        <w:rPr>
          <w:b/>
          <w:color w:val="000000"/>
          <w:sz w:val="36"/>
          <w:szCs w:val="36"/>
          <w:highlight w:val="none"/>
        </w:rPr>
        <w:t xml:space="preserve">第四章   </w:t>
      </w:r>
      <w:bookmarkEnd w:id="731"/>
      <w:r/>
      <w:bookmarkEnd w:id="732"/>
      <w:r/>
      <w:bookmarkEnd w:id="733"/>
      <w:r/>
      <w:bookmarkEnd w:id="734"/>
      <w:r/>
      <w:bookmarkEnd w:id="735"/>
      <w:r/>
      <w:bookmarkStart w:id="737" w:name="_Hlt164229061"/>
      <w:r/>
      <w:bookmarkEnd w:id="737"/>
      <w:r>
        <w:rPr>
          <w:b/>
          <w:color w:val="000000"/>
          <w:sz w:val="36"/>
          <w:szCs w:val="36"/>
          <w:highlight w:val="none"/>
        </w:rPr>
        <w:t xml:space="preserve">评标程序、评标方法和评标标准</w:t>
      </w:r>
      <w:bookmarkEnd w:id="736"/>
      <w:r>
        <w:rPr>
          <w:b/>
          <w:color w:val="000000"/>
          <w:sz w:val="36"/>
          <w:szCs w:val="36"/>
          <w:highlight w:val="none"/>
        </w:rPr>
      </w:r>
      <w:r/>
    </w:p>
    <w:p>
      <w:pPr>
        <w:pStyle w:val="1005"/>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1005"/>
        <w:numPr>
          <w:ilvl w:val="0"/>
          <w:numId w:val="14"/>
        </w:numPr>
        <w:spacing w:line="360" w:lineRule="auto"/>
        <w:tabs>
          <w:tab w:val="left" w:pos="360" w:leader="none"/>
          <w:tab w:val="left" w:pos="900" w:leader="none"/>
        </w:tabs>
        <w:rPr>
          <w:color w:val="000000"/>
          <w:sz w:val="24"/>
          <w:highlight w:val="none"/>
        </w:rPr>
        <w:outlineLvl w:val="1"/>
      </w:pPr>
      <w:r/>
      <w:bookmarkStart w:id="738" w:name="_Toc195842906"/>
      <w:r/>
      <w:bookmarkStart w:id="739" w:name="_Toc226965731"/>
      <w:r/>
      <w:bookmarkStart w:id="740" w:name="_Toc151193929"/>
      <w:r/>
      <w:bookmarkStart w:id="741" w:name="_Toc150774746"/>
      <w:r/>
      <w:bookmarkStart w:id="742" w:name="_Toc127151541"/>
      <w:r/>
      <w:bookmarkStart w:id="743" w:name="_Toc164608810"/>
      <w:r/>
      <w:bookmarkStart w:id="744" w:name="_Toc151190168"/>
      <w:r/>
      <w:bookmarkStart w:id="745" w:name="_Toc127161455"/>
      <w:r/>
      <w:bookmarkStart w:id="746" w:name="_Toc151193711"/>
      <w:r/>
      <w:bookmarkStart w:id="747" w:name="_Toc305158883"/>
      <w:r/>
      <w:bookmarkStart w:id="748" w:name="_Toc164351635"/>
      <w:r/>
      <w:bookmarkStart w:id="749" w:name="_Toc226965814"/>
      <w:r/>
      <w:bookmarkStart w:id="750" w:name="_Toc149720834"/>
      <w:r/>
      <w:bookmarkStart w:id="751" w:name="_Toc151193639"/>
      <w:r/>
      <w:bookmarkStart w:id="752" w:name="_Toc305158809"/>
      <w:r/>
      <w:bookmarkStart w:id="753" w:name="_Toc151193855"/>
      <w:r/>
      <w:bookmarkStart w:id="754" w:name="_Toc127151742"/>
      <w:r/>
      <w:bookmarkStart w:id="755" w:name="_Toc164229236"/>
      <w:r/>
      <w:bookmarkStart w:id="756" w:name="_Toc264969231"/>
      <w:r/>
      <w:bookmarkStart w:id="757" w:name="_Toc150509292"/>
      <w:r/>
      <w:bookmarkStart w:id="758" w:name="_Toc150774641"/>
      <w:r/>
      <w:bookmarkStart w:id="759" w:name="_Toc265228379"/>
      <w:r/>
      <w:bookmarkStart w:id="760" w:name="_Toc150480779"/>
      <w:r/>
      <w:bookmarkStart w:id="761" w:name="_Toc142311043"/>
      <w:r/>
      <w:bookmarkStart w:id="762" w:name="_Toc226337237"/>
      <w:r/>
      <w:bookmarkStart w:id="763" w:name="_Toc226309785"/>
      <w:r/>
      <w:bookmarkStart w:id="764" w:name="_Toc164229382"/>
      <w:r/>
      <w:bookmarkStart w:id="765" w:name="_Toc151193783"/>
      <w:r/>
      <w:bookmarkStart w:id="766" w:name="_Toc164608655"/>
      <w:r/>
      <w:bookmarkStart w:id="767" w:name="_Toc353825551"/>
      <w:r/>
      <w:bookmarkStart w:id="768" w:name="_Toc353873941"/>
      <w:r/>
      <w:bookmarkStart w:id="769" w:name="_Toc226337251"/>
      <w:r/>
      <w:bookmarkStart w:id="770" w:name="_Toc226965828"/>
      <w:r/>
      <w:bookmarkStart w:id="771" w:name="_Toc264969245"/>
      <w:r/>
      <w:bookmarkStart w:id="772" w:name="_Toc305158823"/>
      <w:r/>
      <w:bookmarkStart w:id="773" w:name="_Toc353873935"/>
      <w:r/>
      <w:bookmarkStart w:id="774" w:name="_Toc265228393"/>
      <w:r/>
      <w:bookmarkStart w:id="775" w:name="_Toc353825545"/>
      <w:r/>
      <w:bookmarkStart w:id="776" w:name="_Toc150774760"/>
      <w:r/>
      <w:bookmarkStart w:id="777" w:name="_Toc353873665"/>
      <w:r/>
      <w:bookmarkStart w:id="778" w:name="_Toc142311057"/>
      <w:r/>
      <w:bookmarkStart w:id="779" w:name="_Toc127151555"/>
      <w:r/>
      <w:bookmarkStart w:id="780" w:name="_Toc195842920"/>
      <w:r/>
      <w:bookmarkStart w:id="781" w:name="_Toc150480793"/>
      <w:r/>
      <w:bookmarkStart w:id="782" w:name="_Toc305158897"/>
      <w:r>
        <w:rPr>
          <w:color w:val="000000"/>
          <w:sz w:val="24"/>
          <w:highlight w:val="none"/>
        </w:rPr>
        <w:t xml:space="preserve">投标文件的符合性审查</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Pr>
          <w:color w:val="000000"/>
          <w:sz w:val="24"/>
          <w:highlight w:val="none"/>
        </w:rPr>
      </w:r>
      <w:r/>
    </w:p>
    <w:p>
      <w:pPr>
        <w:pStyle w:val="1005"/>
        <w:numPr>
          <w:ilvl w:val="1"/>
          <w:numId w:val="14"/>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783" w:name="_Toc520356167"/>
      <w:r>
        <w:rPr>
          <w:color w:val="000000"/>
          <w:sz w:val="24"/>
          <w:highlight w:val="none"/>
        </w:rPr>
      </w:r>
      <w:r/>
    </w:p>
    <w:p>
      <w:pPr>
        <w:pStyle w:val="1005"/>
        <w:numPr>
          <w:ilvl w:val="1"/>
          <w:numId w:val="14"/>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83"/>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1005"/>
        <w:ind w:hanging="357"/>
        <w:jc w:val="center"/>
        <w:spacing w:line="360" w:lineRule="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483"/>
        </w:trPr>
        <w:tc>
          <w:tcPr>
            <w:tcW w:w="750" w:type="dxa"/>
            <w:vAlign w:val="center"/>
            <w:textDirection w:val="lrTb"/>
            <w:noWrap w:val="false"/>
          </w:tcPr>
          <w:p>
            <w:pPr>
              <w:pStyle w:val="1005"/>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1813" w:type="dxa"/>
            <w:vAlign w:val="center"/>
            <w:textDirection w:val="lrTb"/>
            <w:noWrap w:val="false"/>
          </w:tcPr>
          <w:p>
            <w:pPr>
              <w:pStyle w:val="1005"/>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6725" w:type="dxa"/>
            <w:vAlign w:val="center"/>
            <w:textDirection w:val="lrTb"/>
            <w:noWrap w:val="false"/>
          </w:tcPr>
          <w:p>
            <w:pPr>
              <w:pStyle w:val="1005"/>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750" w:type="dxa"/>
            <w:vAlign w:val="center"/>
            <w:textDirection w:val="lrTb"/>
            <w:noWrap w:val="false"/>
          </w:tcPr>
          <w:p>
            <w:pPr>
              <w:pStyle w:val="1005"/>
              <w:jc w:val="center"/>
              <w:widowControl/>
              <w:rPr>
                <w:color w:val="000000"/>
                <w:sz w:val="24"/>
                <w:highlight w:val="none"/>
              </w:rPr>
            </w:pPr>
            <w:r>
              <w:rPr>
                <w:color w:val="000000"/>
                <w:sz w:val="24"/>
                <w:highlight w:val="none"/>
              </w:rPr>
              <w:t xml:space="preserve">1</w:t>
            </w:r>
            <w:r>
              <w:rPr>
                <w:color w:val="000000"/>
                <w:sz w:val="24"/>
                <w:highlight w:val="none"/>
              </w:rPr>
            </w:r>
            <w:r/>
          </w:p>
        </w:tc>
        <w:tc>
          <w:tcPr>
            <w:tcW w:w="1813" w:type="dxa"/>
            <w:vAlign w:val="center"/>
            <w:textDirection w:val="lrTb"/>
            <w:noWrap w:val="false"/>
          </w:tcPr>
          <w:p>
            <w:pPr>
              <w:pStyle w:val="1005"/>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6725" w:type="dxa"/>
            <w:vAlign w:val="center"/>
            <w:textDirection w:val="lrTb"/>
            <w:noWrap w:val="false"/>
          </w:tcPr>
          <w:p>
            <w:pPr>
              <w:pStyle w:val="1005"/>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1005"/>
              <w:jc w:val="center"/>
              <w:widowControl/>
              <w:rPr>
                <w:color w:val="000000"/>
                <w:sz w:val="24"/>
                <w:highlight w:val="none"/>
              </w:rPr>
            </w:pPr>
            <w:r>
              <w:rPr>
                <w:color w:val="000000"/>
                <w:sz w:val="24"/>
                <w:highlight w:val="none"/>
              </w:rPr>
              <w:t xml:space="preserve">2</w:t>
            </w:r>
            <w:r>
              <w:rPr>
                <w:color w:val="000000"/>
                <w:sz w:val="24"/>
                <w:highlight w:val="none"/>
              </w:rPr>
            </w:r>
            <w:r/>
          </w:p>
        </w:tc>
        <w:tc>
          <w:tcPr>
            <w:tcW w:w="1813" w:type="dxa"/>
            <w:vAlign w:val="center"/>
            <w:textDirection w:val="lrTb"/>
            <w:noWrap w:val="false"/>
          </w:tcPr>
          <w:p>
            <w:pPr>
              <w:pStyle w:val="1005"/>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6725" w:type="dxa"/>
            <w:vAlign w:val="center"/>
            <w:textDirection w:val="lrTb"/>
            <w:noWrap w:val="false"/>
          </w:tcPr>
          <w:p>
            <w:pPr>
              <w:pStyle w:val="1005"/>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750" w:type="dxa"/>
            <w:vAlign w:val="center"/>
            <w:textDirection w:val="lrTb"/>
            <w:noWrap w:val="false"/>
          </w:tcPr>
          <w:p>
            <w:pPr>
              <w:pStyle w:val="1005"/>
              <w:jc w:val="center"/>
              <w:widowControl/>
              <w:rPr>
                <w:color w:val="000000"/>
                <w:sz w:val="24"/>
                <w:highlight w:val="none"/>
              </w:rPr>
            </w:pPr>
            <w:r>
              <w:rPr>
                <w:color w:val="000000"/>
                <w:sz w:val="24"/>
                <w:highlight w:val="none"/>
              </w:rPr>
              <w:t xml:space="preserve">3</w:t>
            </w:r>
            <w:r>
              <w:rPr>
                <w:color w:val="000000"/>
                <w:sz w:val="24"/>
                <w:highlight w:val="none"/>
              </w:rPr>
            </w:r>
            <w:r/>
          </w:p>
        </w:tc>
        <w:tc>
          <w:tcPr>
            <w:tcW w:w="1813" w:type="dxa"/>
            <w:vAlign w:val="center"/>
            <w:textDirection w:val="lrTb"/>
            <w:noWrap w:val="false"/>
          </w:tcPr>
          <w:p>
            <w:pPr>
              <w:pStyle w:val="1005"/>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6725" w:type="dxa"/>
            <w:vAlign w:val="center"/>
            <w:textDirection w:val="lrTb"/>
            <w:noWrap w:val="false"/>
          </w:tcPr>
          <w:p>
            <w:pPr>
              <w:pStyle w:val="1005"/>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1005"/>
              <w:jc w:val="center"/>
              <w:widowControl/>
              <w:rPr>
                <w:color w:val="000000"/>
                <w:sz w:val="24"/>
                <w:highlight w:val="none"/>
              </w:rPr>
            </w:pPr>
            <w:r>
              <w:rPr>
                <w:color w:val="000000"/>
                <w:sz w:val="24"/>
                <w:highlight w:val="none"/>
              </w:rPr>
              <w:t xml:space="preserve">4</w:t>
            </w:r>
            <w:r>
              <w:rPr>
                <w:color w:val="000000"/>
                <w:sz w:val="24"/>
                <w:highlight w:val="none"/>
              </w:rPr>
            </w:r>
            <w:r/>
          </w:p>
        </w:tc>
        <w:tc>
          <w:tcPr>
            <w:tcW w:w="1813" w:type="dxa"/>
            <w:vAlign w:val="center"/>
            <w:textDirection w:val="lrTb"/>
            <w:noWrap w:val="false"/>
          </w:tcPr>
          <w:p>
            <w:pPr>
              <w:pStyle w:val="1005"/>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6725" w:type="dxa"/>
            <w:vAlign w:val="center"/>
            <w:textDirection w:val="lrTb"/>
            <w:noWrap w:val="false"/>
          </w:tcPr>
          <w:p>
            <w:pPr>
              <w:pStyle w:val="100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1005"/>
              <w:jc w:val="center"/>
              <w:widowControl/>
              <w:rPr>
                <w:color w:val="000000"/>
                <w:sz w:val="24"/>
                <w:highlight w:val="none"/>
              </w:rPr>
            </w:pPr>
            <w:r>
              <w:rPr>
                <w:color w:val="000000"/>
                <w:sz w:val="24"/>
                <w:highlight w:val="none"/>
              </w:rPr>
              <w:t xml:space="preserve">5</w:t>
            </w:r>
            <w:r>
              <w:rPr>
                <w:color w:val="000000"/>
                <w:sz w:val="24"/>
                <w:highlight w:val="none"/>
              </w:rPr>
            </w:r>
            <w:r/>
          </w:p>
        </w:tc>
        <w:tc>
          <w:tcPr>
            <w:tcW w:w="1813" w:type="dxa"/>
            <w:vAlign w:val="center"/>
            <w:textDirection w:val="lrTb"/>
            <w:noWrap w:val="false"/>
          </w:tcPr>
          <w:p>
            <w:pPr>
              <w:pStyle w:val="1005"/>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6725" w:type="dxa"/>
            <w:vAlign w:val="center"/>
            <w:textDirection w:val="lrTb"/>
            <w:noWrap w:val="false"/>
          </w:tcPr>
          <w:p>
            <w:pPr>
              <w:pStyle w:val="1005"/>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750" w:type="dxa"/>
            <w:vAlign w:val="center"/>
            <w:textDirection w:val="lrTb"/>
            <w:noWrap w:val="false"/>
          </w:tcPr>
          <w:p>
            <w:pPr>
              <w:pStyle w:val="1005"/>
              <w:jc w:val="center"/>
              <w:widowControl/>
              <w:rPr>
                <w:color w:val="000000"/>
                <w:sz w:val="24"/>
                <w:highlight w:val="none"/>
              </w:rPr>
            </w:pPr>
            <w:r>
              <w:rPr>
                <w:color w:val="000000"/>
                <w:sz w:val="24"/>
                <w:highlight w:val="none"/>
              </w:rPr>
              <w:t xml:space="preserve">6</w:t>
            </w:r>
            <w:r>
              <w:rPr>
                <w:color w:val="000000"/>
                <w:sz w:val="24"/>
                <w:highlight w:val="none"/>
              </w:rPr>
            </w:r>
            <w:r/>
          </w:p>
        </w:tc>
        <w:tc>
          <w:tcPr>
            <w:tcW w:w="1813" w:type="dxa"/>
            <w:vAlign w:val="center"/>
            <w:textDirection w:val="lrTb"/>
            <w:noWrap w:val="false"/>
          </w:tcPr>
          <w:p>
            <w:pPr>
              <w:pStyle w:val="1005"/>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6725" w:type="dxa"/>
            <w:vAlign w:val="center"/>
            <w:textDirection w:val="lrTb"/>
            <w:noWrap w:val="false"/>
          </w:tcPr>
          <w:p>
            <w:pPr>
              <w:pStyle w:val="1005"/>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750" w:type="dxa"/>
            <w:vAlign w:val="center"/>
            <w:textDirection w:val="lrTb"/>
            <w:noWrap w:val="false"/>
          </w:tcPr>
          <w:p>
            <w:pPr>
              <w:pStyle w:val="1005"/>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1813" w:type="dxa"/>
            <w:vAlign w:val="center"/>
            <w:textDirection w:val="lrTb"/>
            <w:noWrap w:val="false"/>
          </w:tcPr>
          <w:p>
            <w:pPr>
              <w:pStyle w:val="1005"/>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6725" w:type="dxa"/>
            <w:vAlign w:val="center"/>
            <w:textDirection w:val="lrTb"/>
            <w:noWrap w:val="false"/>
          </w:tcPr>
          <w:p>
            <w:pPr>
              <w:pStyle w:val="1005"/>
              <w:jc w:val="left"/>
              <w:widowControl/>
              <w:rPr>
                <w:color w:val="000000"/>
                <w:sz w:val="24"/>
                <w:highlight w:val="none"/>
              </w:rPr>
            </w:pPr>
            <w:r>
              <w:rPr>
                <w:rFonts w:hint="eastAsia"/>
                <w:color w:val="000000"/>
                <w:sz w:val="24"/>
                <w:highlight w:val="none"/>
              </w:rPr>
              <w:t xml:space="preserve">标记为</w:t>
            </w:r>
            <w:r>
              <w:rPr>
                <w:rFonts w:hint="eastAsia"/>
                <w:color w:val="000000"/>
                <w:sz w:val="24"/>
                <w:highlight w:val="none"/>
                <w:lang w:eastAsia="zh-CN"/>
              </w:rPr>
              <w:t xml:space="preserve">“</w:t>
            </w:r>
            <w:r>
              <w:rPr>
                <w:color w:val="000000"/>
                <w:sz w:val="24"/>
                <w:highlight w:val="none"/>
              </w:rPr>
              <w:t xml:space="preserve">实质性格式</w:t>
            </w:r>
            <w:r>
              <w:rPr>
                <w:rFonts w:hint="eastAsia"/>
                <w:color w:val="000000"/>
                <w:sz w:val="24"/>
                <w:highlight w:val="none"/>
                <w:lang w:eastAsia="zh-CN"/>
              </w:rPr>
              <w:t xml:space="preserve">”</w:t>
            </w:r>
            <w:r>
              <w:rPr>
                <w:color w:val="000000"/>
                <w:sz w:val="24"/>
                <w:highlight w:val="none"/>
              </w:rPr>
              <w:t xml:space="preserve">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750" w:type="dxa"/>
            <w:vAlign w:val="center"/>
            <w:textDirection w:val="lrTb"/>
            <w:noWrap w:val="false"/>
          </w:tcPr>
          <w:p>
            <w:pPr>
              <w:pStyle w:val="1005"/>
              <w:jc w:val="center"/>
              <w:widowControl/>
              <w:rPr>
                <w:color w:val="000000"/>
                <w:sz w:val="24"/>
                <w:highlight w:val="none"/>
              </w:rPr>
            </w:pPr>
            <w:r>
              <w:rPr>
                <w:color w:val="000000"/>
                <w:sz w:val="24"/>
                <w:highlight w:val="none"/>
              </w:rPr>
              <w:t xml:space="preserve">8</w:t>
            </w:r>
            <w:r>
              <w:rPr>
                <w:color w:val="000000"/>
                <w:sz w:val="24"/>
                <w:highlight w:val="none"/>
              </w:rPr>
            </w:r>
            <w:r/>
          </w:p>
        </w:tc>
        <w:tc>
          <w:tcPr>
            <w:tcW w:w="1813" w:type="dxa"/>
            <w:vAlign w:val="center"/>
            <w:textDirection w:val="lrTb"/>
            <w:noWrap w:val="false"/>
          </w:tcPr>
          <w:p>
            <w:pPr>
              <w:pStyle w:val="1005"/>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6725" w:type="dxa"/>
            <w:vAlign w:val="center"/>
            <w:textDirection w:val="lrTb"/>
            <w:noWrap w:val="false"/>
          </w:tcPr>
          <w:p>
            <w:pPr>
              <w:pStyle w:val="1005"/>
              <w:jc w:val="left"/>
              <w:widowControl/>
              <w:rPr>
                <w:color w:val="000000"/>
                <w:sz w:val="24"/>
                <w:highlight w:val="none"/>
              </w:rPr>
            </w:pPr>
            <w:r>
              <w:rPr>
                <w:color w:val="000000"/>
                <w:sz w:val="24"/>
                <w:highlight w:val="none"/>
              </w:rPr>
              <w:t xml:space="preserve">投标文件满足招标文件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750" w:type="dxa"/>
            <w:vAlign w:val="center"/>
            <w:textDirection w:val="lrTb"/>
            <w:noWrap w:val="false"/>
          </w:tcPr>
          <w:p>
            <w:pPr>
              <w:pStyle w:val="1005"/>
              <w:jc w:val="center"/>
              <w:widowControl/>
              <w:rPr>
                <w:color w:val="000000"/>
                <w:sz w:val="24"/>
                <w:highlight w:val="none"/>
              </w:rPr>
            </w:pPr>
            <w:r>
              <w:rPr>
                <w:color w:val="000000"/>
                <w:sz w:val="24"/>
                <w:highlight w:val="none"/>
              </w:rPr>
              <w:t xml:space="preserve">9</w:t>
            </w:r>
            <w:r>
              <w:rPr>
                <w:color w:val="000000"/>
                <w:sz w:val="24"/>
                <w:highlight w:val="none"/>
              </w:rPr>
            </w:r>
            <w:r/>
          </w:p>
        </w:tc>
        <w:tc>
          <w:tcPr>
            <w:tcW w:w="1813" w:type="dxa"/>
            <w:vAlign w:val="center"/>
            <w:textDirection w:val="lrTb"/>
            <w:noWrap w:val="false"/>
          </w:tcPr>
          <w:p>
            <w:pPr>
              <w:pStyle w:val="1005"/>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6725" w:type="dxa"/>
            <w:vAlign w:val="center"/>
            <w:textDirection w:val="lrTb"/>
            <w:noWrap w:val="false"/>
          </w:tcPr>
          <w:p>
            <w:pPr>
              <w:pStyle w:val="1005"/>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1005"/>
              <w:jc w:val="center"/>
              <w:widowControl/>
              <w:rPr>
                <w:color w:val="000000"/>
                <w:sz w:val="24"/>
                <w:highlight w:val="none"/>
              </w:rPr>
            </w:pPr>
            <w:r>
              <w:rPr>
                <w:color w:val="000000"/>
                <w:sz w:val="24"/>
                <w:highlight w:val="none"/>
              </w:rPr>
              <w:t xml:space="preserve">10</w:t>
            </w:r>
            <w:r>
              <w:rPr>
                <w:color w:val="000000"/>
                <w:sz w:val="24"/>
                <w:highlight w:val="none"/>
              </w:rPr>
            </w:r>
            <w:r/>
          </w:p>
        </w:tc>
        <w:tc>
          <w:tcPr>
            <w:tcW w:w="1813" w:type="dxa"/>
            <w:vAlign w:val="center"/>
            <w:textDirection w:val="lrTb"/>
            <w:noWrap w:val="false"/>
          </w:tcPr>
          <w:p>
            <w:pPr>
              <w:pStyle w:val="1005"/>
              <w:jc w:val="left"/>
              <w:widowControl/>
              <w:rPr>
                <w:color w:val="000000"/>
                <w:sz w:val="24"/>
                <w:highlight w:val="none"/>
              </w:rPr>
            </w:pPr>
            <w:r>
              <w:rPr>
                <w:color w:val="000000"/>
                <w:sz w:val="24"/>
                <w:highlight w:val="none"/>
              </w:rPr>
              <w:t xml:space="preserve">分包意向协议</w:t>
            </w:r>
            <w:r>
              <w:rPr>
                <w:color w:val="000000"/>
                <w:sz w:val="24"/>
                <w:highlight w:val="none"/>
              </w:rPr>
            </w:r>
            <w:r/>
          </w:p>
          <w:p>
            <w:pPr>
              <w:pStyle w:val="1005"/>
              <w:jc w:val="left"/>
              <w:widowControl/>
              <w:rPr>
                <w:color w:val="000000"/>
                <w:sz w:val="24"/>
                <w:highlight w:val="none"/>
              </w:rPr>
            </w:pPr>
            <w:r>
              <w:rPr>
                <w:color w:val="000000"/>
                <w:sz w:val="24"/>
                <w:highlight w:val="none"/>
              </w:rPr>
              <w:t xml:space="preserve">（如有）</w:t>
            </w:r>
            <w:r>
              <w:rPr>
                <w:color w:val="000000"/>
                <w:sz w:val="24"/>
                <w:highlight w:val="none"/>
              </w:rPr>
            </w:r>
            <w:r/>
          </w:p>
        </w:tc>
        <w:tc>
          <w:tcPr>
            <w:tcW w:w="6725" w:type="dxa"/>
            <w:vAlign w:val="center"/>
            <w:textDirection w:val="lrTb"/>
            <w:noWrap w:val="false"/>
          </w:tcPr>
          <w:p>
            <w:pPr>
              <w:pStyle w:val="1005"/>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r>
      <w:tr>
        <w:trPr>
          <w:trHeight w:val="685"/>
        </w:trPr>
        <w:tc>
          <w:tcPr>
            <w:tcW w:w="750" w:type="dxa"/>
            <w:vAlign w:val="center"/>
            <w:textDirection w:val="lrTb"/>
            <w:noWrap w:val="false"/>
          </w:tcPr>
          <w:p>
            <w:pPr>
              <w:pStyle w:val="1005"/>
              <w:jc w:val="center"/>
              <w:widowControl/>
              <w:rPr>
                <w:color w:val="000000"/>
                <w:sz w:val="24"/>
                <w:highlight w:val="none"/>
              </w:rPr>
            </w:pPr>
            <w:r>
              <w:rPr>
                <w:color w:val="000000"/>
                <w:sz w:val="24"/>
                <w:highlight w:val="none"/>
              </w:rPr>
              <w:t xml:space="preserve">11</w:t>
            </w:r>
            <w:r>
              <w:rPr>
                <w:color w:val="000000"/>
                <w:sz w:val="24"/>
                <w:highlight w:val="none"/>
              </w:rPr>
            </w:r>
            <w:r/>
          </w:p>
        </w:tc>
        <w:tc>
          <w:tcPr>
            <w:tcW w:w="1813" w:type="dxa"/>
            <w:vAlign w:val="center"/>
            <w:textDirection w:val="lrTb"/>
            <w:noWrap w:val="false"/>
          </w:tcPr>
          <w:p>
            <w:pPr>
              <w:pStyle w:val="1005"/>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6725" w:type="dxa"/>
            <w:vAlign w:val="center"/>
            <w:textDirection w:val="lrTb"/>
            <w:noWrap w:val="false"/>
          </w:tcPr>
          <w:p>
            <w:pPr>
              <w:pStyle w:val="1005"/>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750" w:type="dxa"/>
            <w:vAlign w:val="center"/>
            <w:textDirection w:val="lrTb"/>
            <w:noWrap w:val="false"/>
          </w:tcPr>
          <w:p>
            <w:pPr>
              <w:pStyle w:val="1005"/>
              <w:jc w:val="center"/>
              <w:widowControl/>
              <w:rPr>
                <w:color w:val="000000"/>
                <w:sz w:val="24"/>
                <w:highlight w:val="none"/>
              </w:rPr>
            </w:pPr>
            <w:r>
              <w:rPr>
                <w:color w:val="000000"/>
                <w:sz w:val="24"/>
                <w:highlight w:val="none"/>
              </w:rPr>
              <w:t xml:space="preserve">12</w:t>
            </w:r>
            <w:r>
              <w:rPr>
                <w:color w:val="000000"/>
                <w:sz w:val="24"/>
                <w:highlight w:val="none"/>
              </w:rPr>
            </w:r>
            <w:r/>
          </w:p>
        </w:tc>
        <w:tc>
          <w:tcPr>
            <w:tcW w:w="1813" w:type="dxa"/>
            <w:vAlign w:val="center"/>
            <w:textDirection w:val="lrTb"/>
            <w:noWrap w:val="false"/>
          </w:tcPr>
          <w:p>
            <w:pPr>
              <w:pStyle w:val="1005"/>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6725" w:type="dxa"/>
            <w:vAlign w:val="center"/>
            <w:textDirection w:val="lrTb"/>
            <w:noWrap w:val="false"/>
          </w:tcPr>
          <w:p>
            <w:pPr>
              <w:pStyle w:val="1005"/>
              <w:jc w:val="left"/>
              <w:widowControl/>
              <w:rPr>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1005"/>
              <w:jc w:val="center"/>
              <w:widowControl/>
              <w:rPr>
                <w:color w:val="000000"/>
                <w:sz w:val="24"/>
                <w:highlight w:val="none"/>
              </w:rPr>
            </w:pPr>
            <w:r>
              <w:rPr>
                <w:color w:val="000000"/>
                <w:sz w:val="24"/>
                <w:highlight w:val="none"/>
              </w:rPr>
              <w:t xml:space="preserve">13</w:t>
            </w:r>
            <w:r>
              <w:rPr>
                <w:color w:val="000000"/>
                <w:sz w:val="24"/>
                <w:highlight w:val="none"/>
              </w:rPr>
            </w:r>
            <w:r/>
          </w:p>
        </w:tc>
        <w:tc>
          <w:tcPr>
            <w:tcW w:w="1813" w:type="dxa"/>
            <w:vAlign w:val="center"/>
            <w:textDirection w:val="lrTb"/>
            <w:noWrap w:val="false"/>
          </w:tcPr>
          <w:p>
            <w:pPr>
              <w:pStyle w:val="1005"/>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1005"/>
              <w:jc w:val="left"/>
              <w:widowControl/>
              <w:rPr>
                <w:color w:val="000000"/>
                <w:sz w:val="24"/>
                <w:highlight w:val="none"/>
              </w:rPr>
            </w:pPr>
            <w:r>
              <w:rPr>
                <w:color w:val="000000"/>
                <w:sz w:val="24"/>
                <w:highlight w:val="none"/>
              </w:rPr>
              <w:t xml:space="preserve">（如有）</w:t>
            </w:r>
            <w:r>
              <w:rPr>
                <w:color w:val="000000"/>
                <w:sz w:val="24"/>
                <w:highlight w:val="none"/>
              </w:rPr>
            </w:r>
            <w:r/>
          </w:p>
        </w:tc>
        <w:tc>
          <w:tcPr>
            <w:tcW w:w="6725" w:type="dxa"/>
            <w:vAlign w:val="center"/>
            <w:textDirection w:val="lrTb"/>
            <w:noWrap w:val="false"/>
          </w:tcPr>
          <w:p>
            <w:pPr>
              <w:pStyle w:val="1005"/>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投标人所投产品非进口产品的；</w:t>
            </w:r>
            <w:r>
              <w:rPr>
                <w:color w:val="000000"/>
                <w:sz w:val="24"/>
                <w:highlight w:val="none"/>
              </w:rPr>
            </w:r>
            <w:r/>
          </w:p>
        </w:tc>
      </w:tr>
      <w:tr>
        <w:trPr>
          <w:trHeight w:val="685"/>
        </w:trPr>
        <w:tc>
          <w:tcPr>
            <w:tcW w:w="750" w:type="dxa"/>
            <w:vAlign w:val="center"/>
            <w:textDirection w:val="lrTb"/>
            <w:noWrap w:val="false"/>
          </w:tcPr>
          <w:p>
            <w:pPr>
              <w:pStyle w:val="1005"/>
              <w:jc w:val="center"/>
              <w:widowControl/>
              <w:rPr>
                <w:color w:val="000000"/>
                <w:sz w:val="24"/>
                <w:highlight w:val="none"/>
              </w:rPr>
            </w:pPr>
            <w:r>
              <w:rPr>
                <w:color w:val="000000"/>
                <w:sz w:val="24"/>
                <w:highlight w:val="none"/>
              </w:rPr>
              <w:t xml:space="preserve">14</w:t>
            </w:r>
            <w:r>
              <w:rPr>
                <w:color w:val="000000"/>
                <w:sz w:val="24"/>
                <w:highlight w:val="none"/>
              </w:rPr>
            </w:r>
            <w:r/>
          </w:p>
        </w:tc>
        <w:tc>
          <w:tcPr>
            <w:tcW w:w="1813" w:type="dxa"/>
            <w:vAlign w:val="center"/>
            <w:textDirection w:val="lrTb"/>
            <w:noWrap w:val="false"/>
          </w:tcPr>
          <w:p>
            <w:pPr>
              <w:pStyle w:val="1005"/>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6725" w:type="dxa"/>
            <w:vAlign w:val="center"/>
            <w:textDirection w:val="lrTb"/>
            <w:noWrap w:val="false"/>
          </w:tcPr>
          <w:p>
            <w:pPr>
              <w:pStyle w:val="1005"/>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1005"/>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1005"/>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rPr>
                <w:color w:val="000000"/>
                <w:sz w:val="24"/>
                <w:highlight w:val="none"/>
              </w:rPr>
            </w:r>
            <w:r/>
          </w:p>
          <w:p>
            <w:pPr>
              <w:pStyle w:val="1005"/>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rPr>
                <w:color w:val="000000"/>
                <w:sz w:val="24"/>
                <w:highlight w:val="none"/>
              </w:rPr>
            </w:r>
            <w:r/>
          </w:p>
          <w:p>
            <w:pPr>
              <w:pStyle w:val="1005"/>
              <w:jc w:val="left"/>
              <w:widowControl/>
              <w:rPr>
                <w:color w:val="000000"/>
                <w:sz w:val="24"/>
                <w:highlight w:val="none"/>
              </w:rPr>
            </w:pPr>
            <w:r>
              <w:rPr>
                <w:rFonts w:hint="eastAsia"/>
                <w:color w:val="000000"/>
                <w:sz w:val="24"/>
                <w:highlight w:val="none"/>
              </w:rPr>
              <w:t xml:space="preserve">4）</w:t>
            </w:r>
            <w:r>
              <w:rPr>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highlight w:val="none"/>
              </w:rPr>
            </w:r>
            <w:r/>
          </w:p>
        </w:tc>
      </w:tr>
      <w:tr>
        <w:trPr>
          <w:trHeight w:val="685"/>
        </w:trPr>
        <w:tc>
          <w:tcPr>
            <w:tcW w:w="750" w:type="dxa"/>
            <w:vAlign w:val="center"/>
            <w:textDirection w:val="lrTb"/>
            <w:noWrap w:val="false"/>
          </w:tcPr>
          <w:p>
            <w:pPr>
              <w:pStyle w:val="1005"/>
              <w:jc w:val="center"/>
              <w:widowControl/>
              <w:rPr>
                <w:color w:val="000000"/>
                <w:sz w:val="24"/>
                <w:highlight w:val="none"/>
              </w:rPr>
            </w:pPr>
            <w:r>
              <w:rPr>
                <w:color w:val="000000"/>
                <w:sz w:val="24"/>
                <w:highlight w:val="none"/>
              </w:rPr>
              <w:t xml:space="preserve">15</w:t>
            </w:r>
            <w:r>
              <w:rPr>
                <w:color w:val="000000"/>
                <w:sz w:val="24"/>
                <w:highlight w:val="none"/>
              </w:rPr>
            </w:r>
            <w:r/>
          </w:p>
        </w:tc>
        <w:tc>
          <w:tcPr>
            <w:tcW w:w="1813" w:type="dxa"/>
            <w:vAlign w:val="center"/>
            <w:textDirection w:val="lrTb"/>
            <w:noWrap w:val="false"/>
          </w:tcPr>
          <w:p>
            <w:pPr>
              <w:pStyle w:val="1005"/>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6725" w:type="dxa"/>
            <w:vAlign w:val="center"/>
            <w:textDirection w:val="lrTb"/>
            <w:noWrap w:val="false"/>
          </w:tcPr>
          <w:p>
            <w:pPr>
              <w:pStyle w:val="1005"/>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投标人遵循公平竞争的原则，不存在恶意串通，妨碍其他投标人的竞争行为，不存在损害招标人或者其他投标人的合法权益情形的；</w:t>
            </w:r>
            <w:r>
              <w:rPr>
                <w:color w:val="000000"/>
                <w:sz w:val="24"/>
                <w:highlight w:val="none"/>
              </w:rPr>
            </w:r>
            <w:r/>
          </w:p>
        </w:tc>
      </w:tr>
      <w:tr>
        <w:trPr>
          <w:trHeight w:val="685"/>
        </w:trPr>
        <w:tc>
          <w:tcPr>
            <w:tcW w:w="750" w:type="dxa"/>
            <w:vAlign w:val="center"/>
            <w:textDirection w:val="lrTb"/>
            <w:noWrap w:val="false"/>
          </w:tcPr>
          <w:p>
            <w:pPr>
              <w:pStyle w:val="1005"/>
              <w:jc w:val="center"/>
              <w:widowControl/>
              <w:rPr>
                <w:color w:val="000000"/>
                <w:sz w:val="24"/>
                <w:highlight w:val="none"/>
              </w:rPr>
            </w:pPr>
            <w:r>
              <w:rPr>
                <w:color w:val="000000"/>
                <w:sz w:val="24"/>
                <w:highlight w:val="none"/>
              </w:rPr>
              <w:t xml:space="preserve">16</w:t>
            </w:r>
            <w:r>
              <w:rPr>
                <w:color w:val="000000"/>
                <w:sz w:val="24"/>
                <w:highlight w:val="none"/>
              </w:rPr>
            </w:r>
            <w:r/>
          </w:p>
        </w:tc>
        <w:tc>
          <w:tcPr>
            <w:tcW w:w="1813" w:type="dxa"/>
            <w:vAlign w:val="center"/>
            <w:textDirection w:val="lrTb"/>
            <w:noWrap w:val="false"/>
          </w:tcPr>
          <w:p>
            <w:pPr>
              <w:pStyle w:val="1005"/>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6725" w:type="dxa"/>
            <w:vAlign w:val="center"/>
            <w:textDirection w:val="lrTb"/>
            <w:noWrap w:val="false"/>
          </w:tcPr>
          <w:p>
            <w:pPr>
              <w:pStyle w:val="1005"/>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1005"/>
              <w:jc w:val="center"/>
              <w:widowControl/>
              <w:rPr>
                <w:color w:val="000000"/>
                <w:sz w:val="24"/>
                <w:highlight w:val="none"/>
              </w:rPr>
            </w:pPr>
            <w:r>
              <w:rPr>
                <w:color w:val="000000"/>
                <w:sz w:val="24"/>
                <w:highlight w:val="none"/>
              </w:rPr>
              <w:t xml:space="preserve">17</w:t>
            </w:r>
            <w:r>
              <w:rPr>
                <w:color w:val="000000"/>
                <w:sz w:val="24"/>
                <w:highlight w:val="none"/>
              </w:rPr>
            </w:r>
            <w:r/>
          </w:p>
        </w:tc>
        <w:tc>
          <w:tcPr>
            <w:tcW w:w="1813" w:type="dxa"/>
            <w:vAlign w:val="center"/>
            <w:textDirection w:val="lrTb"/>
            <w:noWrap w:val="false"/>
          </w:tcPr>
          <w:p>
            <w:pPr>
              <w:pStyle w:val="1005"/>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6725" w:type="dxa"/>
            <w:vAlign w:val="center"/>
            <w:textDirection w:val="lrTb"/>
            <w:noWrap w:val="false"/>
          </w:tcPr>
          <w:p>
            <w:pPr>
              <w:pStyle w:val="100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含有招标人不能接受的附加条件的；</w:t>
            </w:r>
            <w:r>
              <w:rPr>
                <w:color w:val="000000"/>
                <w:sz w:val="24"/>
                <w:highlight w:val="none"/>
              </w:rPr>
            </w:r>
            <w:r/>
          </w:p>
        </w:tc>
      </w:tr>
      <w:tr>
        <w:trPr>
          <w:trHeight w:val="685"/>
        </w:trPr>
        <w:tc>
          <w:tcPr>
            <w:tcW w:w="750" w:type="dxa"/>
            <w:vAlign w:val="center"/>
            <w:textDirection w:val="lrTb"/>
            <w:noWrap w:val="false"/>
          </w:tcPr>
          <w:p>
            <w:pPr>
              <w:pStyle w:val="1005"/>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1813" w:type="dxa"/>
            <w:vAlign w:val="center"/>
            <w:textDirection w:val="lrTb"/>
            <w:noWrap w:val="false"/>
          </w:tcPr>
          <w:p>
            <w:pPr>
              <w:pStyle w:val="1005"/>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6725" w:type="dxa"/>
            <w:vAlign w:val="center"/>
            <w:textDirection w:val="lrTb"/>
            <w:noWrap w:val="false"/>
          </w:tcPr>
          <w:p>
            <w:pPr>
              <w:pStyle w:val="1005"/>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1005"/>
        <w:numPr>
          <w:ilvl w:val="0"/>
          <w:numId w:val="15"/>
        </w:numPr>
        <w:spacing w:line="360" w:lineRule="auto"/>
        <w:tabs>
          <w:tab w:val="left" w:pos="900" w:leader="none"/>
          <w:tab w:val="left" w:pos="1080" w:leader="none"/>
          <w:tab w:val="left" w:pos="1589" w:leader="none"/>
        </w:tabs>
        <w:rPr>
          <w:color w:val="000000"/>
          <w:sz w:val="24"/>
          <w:highlight w:val="none"/>
        </w:rPr>
        <w:sectPr>
          <w:headerReference w:type="even" r:id="rId13"/>
          <w:headerReference w:type="first" r:id="rId14"/>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1005"/>
        <w:numPr>
          <w:ilvl w:val="0"/>
          <w:numId w:val="14"/>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投标文件有关事项的澄清或者说明</w:t>
      </w:r>
      <w:r>
        <w:rPr>
          <w:color w:val="000000"/>
          <w:sz w:val="24"/>
          <w:highlight w:val="none"/>
        </w:rPr>
      </w:r>
      <w:r/>
    </w:p>
    <w:p>
      <w:pPr>
        <w:pStyle w:val="1005"/>
        <w:numPr>
          <w:ilvl w:val="1"/>
          <w:numId w:val="14"/>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通过政府采购一体化平台</w:t>
      </w:r>
      <w:r>
        <w:rPr>
          <w:rFonts w:hint="eastAsia"/>
          <w:color w:val="000000"/>
          <w:sz w:val="24"/>
          <w:highlight w:val="none"/>
          <w:lang w:eastAsia="zh-CN"/>
        </w:rPr>
        <w:t xml:space="preserve">“</w:t>
      </w:r>
      <w:r>
        <w:rPr>
          <w:rFonts w:hint="eastAsia"/>
          <w:color w:val="000000"/>
          <w:sz w:val="24"/>
          <w:highlight w:val="none"/>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1005"/>
        <w:numPr>
          <w:ilvl w:val="1"/>
          <w:numId w:val="14"/>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1005"/>
        <w:numPr>
          <w:ilvl w:val="1"/>
          <w:numId w:val="14"/>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5"/>
        <w:numPr>
          <w:ilvl w:val="1"/>
          <w:numId w:val="14"/>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1005"/>
        <w:numPr>
          <w:ilvl w:val="2"/>
          <w:numId w:val="14"/>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1005"/>
        <w:ind w:left="2035"/>
        <w:spacing w:line="360" w:lineRule="auto"/>
        <w:tabs>
          <w:tab w:val="left" w:pos="1080" w:leader="none"/>
          <w:tab w:val="left" w:pos="1589" w:leader="none"/>
          <w:tab w:val="left" w:pos="2035" w:leader="none"/>
          <w:tab w:val="left" w:pos="2114" w:leader="none"/>
        </w:tabs>
        <w:rPr>
          <w:color w:val="000000"/>
          <w:sz w:val="24"/>
          <w:highlight w:val="none"/>
        </w:rPr>
      </w:pPr>
      <w:r>
        <w:rPr>
          <w:color w:val="000000"/>
          <w:sz w:val="24"/>
          <w:highlight w:val="none"/>
        </w:rPr>
        <w:t xml:space="preserve">无，按下述2.4.2-2.4.7项规定修正。</w:t>
      </w:r>
      <w:r>
        <w:rPr>
          <w:color w:val="000000"/>
          <w:sz w:val="24"/>
          <w:highlight w:val="none"/>
        </w:rPr>
      </w:r>
      <w:r/>
    </w:p>
    <w:p>
      <w:pPr>
        <w:pStyle w:val="1005"/>
        <w:numPr>
          <w:ilvl w:val="2"/>
          <w:numId w:val="14"/>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1005"/>
        <w:numPr>
          <w:ilvl w:val="2"/>
          <w:numId w:val="14"/>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1005"/>
        <w:numPr>
          <w:ilvl w:val="2"/>
          <w:numId w:val="14"/>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1005"/>
        <w:numPr>
          <w:ilvl w:val="2"/>
          <w:numId w:val="14"/>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1005"/>
        <w:numPr>
          <w:ilvl w:val="2"/>
          <w:numId w:val="14"/>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1005"/>
        <w:numPr>
          <w:ilvl w:val="2"/>
          <w:numId w:val="14"/>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5"/>
        <w:numPr>
          <w:ilvl w:val="1"/>
          <w:numId w:val="14"/>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1005"/>
        <w:numPr>
          <w:ilvl w:val="2"/>
          <w:numId w:val="14"/>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1005"/>
        <w:numPr>
          <w:ilvl w:val="2"/>
          <w:numId w:val="14"/>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的合同份额占到合同总金额30%以上的联合体或者大中型企业的报价给予</w:t>
      </w:r>
      <w:r>
        <w:rPr>
          <w:rFonts w:hint="eastAsia"/>
          <w:color w:val="000000"/>
          <w:sz w:val="24"/>
          <w:highlight w:val="none"/>
        </w:rPr>
        <w:t xml:space="preserve">6</w:t>
      </w:r>
      <w:r>
        <w:rPr>
          <w:color w:val="000000"/>
          <w:sz w:val="24"/>
          <w:highlight w:val="none"/>
        </w:rPr>
        <w:t xml:space="preserve">%的扣除，用扣除后的价格参加评审。</w:t>
      </w:r>
      <w:r>
        <w:rPr>
          <w:color w:val="000000"/>
          <w:sz w:val="24"/>
          <w:highlight w:val="none"/>
        </w:rPr>
      </w:r>
      <w:r/>
    </w:p>
    <w:p>
      <w:pPr>
        <w:pStyle w:val="1005"/>
        <w:numPr>
          <w:ilvl w:val="2"/>
          <w:numId w:val="14"/>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1005"/>
        <w:numPr>
          <w:ilvl w:val="2"/>
          <w:numId w:val="14"/>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1005"/>
        <w:numPr>
          <w:ilvl w:val="2"/>
          <w:numId w:val="14"/>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1005"/>
        <w:numPr>
          <w:ilvl w:val="2"/>
          <w:numId w:val="14"/>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1005"/>
        <w:numPr>
          <w:ilvl w:val="2"/>
          <w:numId w:val="14"/>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1005"/>
        <w:numPr>
          <w:ilvl w:val="2"/>
          <w:numId w:val="14"/>
        </w:numPr>
        <w:ind w:left="2035"/>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color w:val="000000"/>
          <w:sz w:val="24"/>
          <w:highlight w:val="none"/>
        </w:rPr>
      </w:r>
      <w:r/>
    </w:p>
    <w:p>
      <w:pPr>
        <w:pStyle w:val="1005"/>
        <w:numPr>
          <w:ilvl w:val="0"/>
          <w:numId w:val="14"/>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67"/>
      <w:r/>
      <w:bookmarkEnd w:id="768"/>
      <w:r>
        <w:rPr>
          <w:color w:val="000000"/>
          <w:sz w:val="24"/>
          <w:highlight w:val="none"/>
        </w:rPr>
      </w:r>
      <w:r/>
    </w:p>
    <w:p>
      <w:pPr>
        <w:pStyle w:val="1005"/>
        <w:numPr>
          <w:ilvl w:val="1"/>
          <w:numId w:val="14"/>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1005"/>
        <w:numPr>
          <w:ilvl w:val="1"/>
          <w:numId w:val="14"/>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1005"/>
        <w:numPr>
          <w:ilvl w:val="2"/>
          <w:numId w:val="14"/>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1005"/>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1005"/>
        <w:numPr>
          <w:ilvl w:val="0"/>
          <w:numId w:val="14"/>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784" w:name="_Toc127151747"/>
      <w:r/>
      <w:bookmarkStart w:id="785" w:name="_Toc164229387"/>
      <w:r/>
      <w:bookmarkStart w:id="786" w:name="_Ref467307010"/>
      <w:r/>
      <w:bookmarkStart w:id="787" w:name="_Toc264969236"/>
      <w:r/>
      <w:bookmarkStart w:id="788" w:name="_Toc149720839"/>
      <w:r/>
      <w:bookmarkStart w:id="789" w:name="_Toc151190173"/>
      <w:r/>
      <w:bookmarkStart w:id="790" w:name="_Toc164608660"/>
      <w:r/>
      <w:bookmarkStart w:id="791" w:name="_Toc164351640"/>
      <w:r/>
      <w:bookmarkStart w:id="792" w:name="_Toc150480784"/>
      <w:r/>
      <w:bookmarkStart w:id="793" w:name="_Toc150509297"/>
      <w:r/>
      <w:bookmarkStart w:id="794" w:name="_Toc226309790"/>
      <w:r/>
      <w:bookmarkStart w:id="795" w:name="_Toc127161460"/>
      <w:r/>
      <w:bookmarkStart w:id="796" w:name="_Toc164608815"/>
      <w:r/>
      <w:bookmarkStart w:id="797" w:name="_Toc151193934"/>
      <w:r/>
      <w:bookmarkStart w:id="798" w:name="_Toc142311048"/>
      <w:r/>
      <w:bookmarkStart w:id="799" w:name="_Toc195842911"/>
      <w:r/>
      <w:bookmarkStart w:id="800" w:name="_Toc150774751"/>
      <w:r/>
      <w:bookmarkStart w:id="801" w:name="_Toc164229241"/>
      <w:r/>
      <w:bookmarkStart w:id="802" w:name="_Toc151193644"/>
      <w:r/>
      <w:bookmarkStart w:id="803" w:name="_Toc305158888"/>
      <w:r/>
      <w:bookmarkStart w:id="804" w:name="_Toc226965819"/>
      <w:r/>
      <w:bookmarkStart w:id="805" w:name="_Toc226337242"/>
      <w:r/>
      <w:bookmarkStart w:id="806" w:name="_Toc127151546"/>
      <w:r/>
      <w:bookmarkStart w:id="807" w:name="_Toc151193716"/>
      <w:r/>
      <w:bookmarkStart w:id="808" w:name="_Toc265228384"/>
      <w:r/>
      <w:bookmarkStart w:id="809" w:name="_Toc226965736"/>
      <w:r/>
      <w:bookmarkStart w:id="810" w:name="_Toc150774646"/>
      <w:r/>
      <w:bookmarkStart w:id="811" w:name="_Toc305158814"/>
      <w:r/>
      <w:bookmarkStart w:id="812" w:name="_Toc151193788"/>
      <w:r/>
      <w:bookmarkStart w:id="813" w:name="_Toc520356170"/>
      <w:r/>
      <w:bookmarkStart w:id="814" w:name="_Toc151193860"/>
      <w:r>
        <w:rPr>
          <w:color w:val="000000"/>
          <w:sz w:val="24"/>
          <w:highlight w:val="none"/>
        </w:rPr>
        <w:t xml:space="preserve">中标候选人名单</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Pr>
          <w:color w:val="000000"/>
          <w:sz w:val="24"/>
          <w:highlight w:val="none"/>
        </w:rPr>
      </w:r>
      <w:r/>
    </w:p>
    <w:p>
      <w:pPr>
        <w:pStyle w:val="1005"/>
        <w:numPr>
          <w:ilvl w:val="1"/>
          <w:numId w:val="14"/>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1045"/>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具体要求：</w:t>
      </w:r>
      <w:r>
        <w:rPr>
          <w:rFonts w:ascii="Times New Roman" w:hAnsi="Times New Roman"/>
          <w:color w:val="000000"/>
          <w:sz w:val="24"/>
          <w:szCs w:val="24"/>
          <w:highlight w:val="none"/>
        </w:rPr>
        <w:t xml:space="preserve">按实施方案优劣顺序排列。</w:t>
      </w:r>
      <w:r>
        <w:rPr>
          <w:rFonts w:ascii="Times New Roman" w:hAnsi="Times New Roman"/>
          <w:color w:val="000000"/>
          <w:sz w:val="24"/>
          <w:szCs w:val="24"/>
          <w:highlight w:val="none"/>
        </w:rPr>
      </w:r>
      <w:r/>
    </w:p>
    <w:p>
      <w:pPr>
        <w:pStyle w:val="1005"/>
        <w:numPr>
          <w:ilvl w:val="1"/>
          <w:numId w:val="14"/>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1005"/>
        <w:numPr>
          <w:ilvl w:val="1"/>
          <w:numId w:val="14"/>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1005"/>
        <w:numPr>
          <w:ilvl w:val="1"/>
          <w:numId w:val="14"/>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1005"/>
        <w:numPr>
          <w:ilvl w:val="1"/>
          <w:numId w:val="14"/>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1005"/>
        <w:numPr>
          <w:ilvl w:val="0"/>
          <w:numId w:val="14"/>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1005"/>
        <w:numPr>
          <w:ilvl w:val="1"/>
          <w:numId w:val="14"/>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评标委员会在评标过程中发现投标人有行贿、提供虚假材料或者串通等违法行为时，有向招标人、招标代理机构或者有关部门报告的职责。</w:t>
      </w:r>
      <w:r>
        <w:rPr>
          <w:color w:val="000000"/>
          <w:sz w:val="24"/>
          <w:highlight w:val="none"/>
        </w:rPr>
      </w:r>
      <w:r/>
    </w:p>
    <w:p>
      <w:pPr>
        <w:pStyle w:val="1005"/>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6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410"/>
        <w:gridCol w:w="840"/>
        <w:gridCol w:w="3885"/>
        <w:gridCol w:w="2772"/>
      </w:tblGrid>
      <w:tr>
        <w:trPr>
          <w:trHeight w:val="483"/>
        </w:trPr>
        <w:tc>
          <w:tcPr>
            <w:tcW w:w="763" w:type="dxa"/>
            <w:vAlign w:val="center"/>
            <w:textDirection w:val="lrTb"/>
            <w:noWrap w:val="false"/>
          </w:tcPr>
          <w:p>
            <w:pPr>
              <w:pStyle w:val="1005"/>
              <w:ind w:firstLine="28"/>
              <w:jc w:val="center"/>
              <w:rPr>
                <w:b/>
                <w:color w:val="000000"/>
                <w:sz w:val="24"/>
                <w:highlight w:val="none"/>
              </w:rPr>
            </w:pPr>
            <w:r>
              <w:rPr>
                <w:b/>
                <w:color w:val="000000"/>
                <w:sz w:val="24"/>
                <w:highlight w:val="none"/>
              </w:rPr>
              <w:t xml:space="preserve">序号</w:t>
            </w:r>
            <w:r>
              <w:rPr>
                <w:b/>
                <w:color w:val="000000"/>
                <w:sz w:val="24"/>
                <w:highlight w:val="none"/>
              </w:rPr>
            </w:r>
            <w:r/>
          </w:p>
        </w:tc>
        <w:tc>
          <w:tcPr>
            <w:tcW w:w="1410" w:type="dxa"/>
            <w:vAlign w:val="center"/>
            <w:textDirection w:val="lrTb"/>
            <w:noWrap w:val="false"/>
          </w:tcPr>
          <w:p>
            <w:pPr>
              <w:pStyle w:val="1005"/>
              <w:ind w:firstLine="28"/>
              <w:jc w:val="center"/>
              <w:rPr>
                <w:b/>
                <w:color w:val="000000"/>
                <w:sz w:val="24"/>
                <w:highlight w:val="none"/>
              </w:rPr>
            </w:pPr>
            <w:r>
              <w:rPr>
                <w:b/>
                <w:color w:val="000000"/>
                <w:sz w:val="24"/>
                <w:highlight w:val="none"/>
              </w:rPr>
              <w:t xml:space="preserve">评分因素</w:t>
            </w:r>
            <w:r>
              <w:rPr>
                <w:b/>
                <w:color w:val="000000"/>
                <w:sz w:val="24"/>
                <w:highlight w:val="none"/>
              </w:rPr>
            </w:r>
            <w:r/>
          </w:p>
        </w:tc>
        <w:tc>
          <w:tcPr>
            <w:tcW w:w="840" w:type="dxa"/>
            <w:vAlign w:val="center"/>
            <w:textDirection w:val="lrTb"/>
            <w:noWrap w:val="false"/>
          </w:tcPr>
          <w:p>
            <w:pPr>
              <w:pStyle w:val="1005"/>
              <w:ind w:firstLine="28"/>
              <w:jc w:val="center"/>
              <w:rPr>
                <w:b/>
                <w:color w:val="000000"/>
                <w:sz w:val="24"/>
                <w:highlight w:val="none"/>
              </w:rPr>
            </w:pPr>
            <w:r>
              <w:rPr>
                <w:b/>
                <w:color w:val="000000"/>
                <w:sz w:val="24"/>
                <w:highlight w:val="none"/>
              </w:rPr>
              <w:t xml:space="preserve">分值</w:t>
            </w:r>
            <w:r>
              <w:rPr>
                <w:b/>
                <w:color w:val="000000"/>
                <w:sz w:val="24"/>
                <w:highlight w:val="none"/>
              </w:rPr>
            </w:r>
            <w:r/>
          </w:p>
        </w:tc>
        <w:tc>
          <w:tcPr>
            <w:tcW w:w="3885" w:type="dxa"/>
            <w:vAlign w:val="center"/>
            <w:textDirection w:val="lrTb"/>
            <w:noWrap w:val="false"/>
          </w:tcPr>
          <w:p>
            <w:pPr>
              <w:pStyle w:val="1005"/>
              <w:ind w:firstLine="28"/>
              <w:jc w:val="center"/>
              <w:rPr>
                <w:b/>
                <w:color w:val="000000"/>
                <w:sz w:val="24"/>
                <w:highlight w:val="none"/>
              </w:rPr>
            </w:pPr>
            <w:r>
              <w:rPr>
                <w:b/>
                <w:color w:val="000000"/>
                <w:sz w:val="24"/>
                <w:highlight w:val="none"/>
              </w:rPr>
              <w:t xml:space="preserve">评分标准</w:t>
            </w:r>
            <w:r>
              <w:rPr>
                <w:b/>
                <w:color w:val="000000"/>
                <w:sz w:val="24"/>
                <w:highlight w:val="none"/>
              </w:rPr>
            </w:r>
            <w:r/>
          </w:p>
        </w:tc>
        <w:tc>
          <w:tcPr>
            <w:tcW w:w="2772" w:type="dxa"/>
            <w:vAlign w:val="center"/>
            <w:textDirection w:val="lrTb"/>
            <w:noWrap w:val="false"/>
          </w:tcPr>
          <w:p>
            <w:pPr>
              <w:pStyle w:val="1005"/>
              <w:jc w:val="center"/>
              <w:rPr>
                <w:b/>
                <w:color w:val="000000"/>
                <w:sz w:val="24"/>
                <w:highlight w:val="none"/>
              </w:rPr>
            </w:pPr>
            <w:r>
              <w:rPr>
                <w:b/>
                <w:color w:val="000000"/>
                <w:sz w:val="24"/>
                <w:highlight w:val="none"/>
              </w:rPr>
              <w:t xml:space="preserve">说明</w:t>
            </w:r>
            <w:r>
              <w:rPr>
                <w:b/>
                <w:color w:val="000000"/>
                <w:sz w:val="24"/>
                <w:highlight w:val="none"/>
              </w:rPr>
            </w:r>
            <w:r/>
          </w:p>
        </w:tc>
      </w:tr>
      <w:tr>
        <w:trPr>
          <w:trHeight w:val="631"/>
        </w:trPr>
        <w:tc>
          <w:tcPr>
            <w:tcW w:w="763" w:type="dxa"/>
            <w:vAlign w:val="center"/>
            <w:textDirection w:val="lrTb"/>
            <w:noWrap w:val="false"/>
          </w:tcPr>
          <w:p>
            <w:pPr>
              <w:pStyle w:val="1005"/>
              <w:ind w:firstLine="28"/>
              <w:jc w:val="center"/>
              <w:rPr>
                <w:b/>
                <w:color w:val="000000"/>
                <w:sz w:val="24"/>
                <w:highlight w:val="none"/>
              </w:rPr>
            </w:pPr>
            <w:r>
              <w:rPr>
                <w:rFonts w:hint="eastAsia"/>
                <w:b/>
                <w:color w:val="000000"/>
                <w:sz w:val="24"/>
                <w:highlight w:val="none"/>
              </w:rPr>
              <w:t xml:space="preserve">1</w:t>
            </w:r>
            <w:r>
              <w:rPr>
                <w:b/>
                <w:color w:val="000000"/>
                <w:sz w:val="24"/>
                <w:highlight w:val="none"/>
              </w:rPr>
            </w:r>
            <w:r/>
          </w:p>
        </w:tc>
        <w:tc>
          <w:tcPr>
            <w:tcW w:w="1410" w:type="dxa"/>
            <w:vAlign w:val="center"/>
            <w:textDirection w:val="lrTb"/>
            <w:noWrap w:val="false"/>
          </w:tcPr>
          <w:p>
            <w:pPr>
              <w:pStyle w:val="1005"/>
              <w:ind w:firstLine="28"/>
              <w:jc w:val="center"/>
              <w:rPr>
                <w:b/>
                <w:color w:val="000000"/>
                <w:sz w:val="24"/>
                <w:highlight w:val="none"/>
              </w:rPr>
            </w:pPr>
            <w:r>
              <w:rPr>
                <w:rFonts w:hint="eastAsia"/>
                <w:b/>
                <w:color w:val="000000"/>
                <w:sz w:val="24"/>
                <w:highlight w:val="none"/>
              </w:rPr>
              <w:t xml:space="preserve">价格分</w:t>
            </w:r>
            <w:r>
              <w:rPr>
                <w:b/>
                <w:color w:val="000000"/>
                <w:sz w:val="24"/>
                <w:highlight w:val="none"/>
              </w:rPr>
            </w:r>
            <w:r/>
          </w:p>
        </w:tc>
        <w:tc>
          <w:tcPr>
            <w:tcW w:w="840" w:type="dxa"/>
            <w:vAlign w:val="center"/>
            <w:textDirection w:val="lrTb"/>
            <w:noWrap w:val="false"/>
          </w:tcPr>
          <w:p>
            <w:pPr>
              <w:pStyle w:val="1005"/>
              <w:ind w:firstLine="28"/>
              <w:jc w:val="center"/>
              <w:rPr>
                <w:b/>
                <w:color w:val="000000"/>
                <w:sz w:val="24"/>
                <w:highlight w:val="none"/>
              </w:rPr>
            </w:pPr>
            <w:r>
              <w:rPr>
                <w:rFonts w:hint="eastAsia"/>
                <w:b/>
                <w:color w:val="000000"/>
                <w:sz w:val="24"/>
                <w:highlight w:val="none"/>
              </w:rPr>
              <w:t xml:space="preserve">46</w:t>
            </w:r>
            <w:r>
              <w:rPr>
                <w:b/>
                <w:color w:val="000000"/>
                <w:sz w:val="24"/>
                <w:highlight w:val="none"/>
              </w:rPr>
            </w:r>
            <w:r/>
          </w:p>
        </w:tc>
        <w:tc>
          <w:tcPr>
            <w:tcW w:w="3885" w:type="dxa"/>
            <w:vAlign w:val="center"/>
            <w:textDirection w:val="lrTb"/>
            <w:noWrap w:val="false"/>
          </w:tcPr>
          <w:p>
            <w:pPr>
              <w:pStyle w:val="1005"/>
              <w:rPr>
                <w:color w:val="000000"/>
                <w:sz w:val="24"/>
                <w:highlight w:val="none"/>
              </w:rPr>
            </w:pPr>
            <w:r>
              <w:rPr>
                <w:color w:val="000000"/>
                <w:sz w:val="24"/>
                <w:highlight w:val="none"/>
              </w:rPr>
              <w:t xml:space="preserve">满足招标文件要求且</w:t>
            </w:r>
            <w:r>
              <w:rPr>
                <w:rFonts w:hint="eastAsia"/>
                <w:color w:val="000000"/>
                <w:sz w:val="24"/>
                <w:highlight w:val="none"/>
              </w:rPr>
              <w:t xml:space="preserve">（1-优惠率）</w:t>
            </w:r>
            <w:r>
              <w:rPr>
                <w:color w:val="000000"/>
                <w:sz w:val="24"/>
                <w:highlight w:val="none"/>
              </w:rPr>
              <w:t xml:space="preserve">最低的为评标</w:t>
            </w:r>
            <w:r>
              <w:rPr>
                <w:rFonts w:hint="eastAsia"/>
                <w:color w:val="000000"/>
                <w:sz w:val="24"/>
                <w:highlight w:val="none"/>
              </w:rPr>
              <w:t xml:space="preserve">基准单价</w:t>
            </w:r>
            <w:r>
              <w:rPr>
                <w:color w:val="000000"/>
                <w:sz w:val="24"/>
                <w:highlight w:val="none"/>
              </w:rPr>
              <w:t xml:space="preserve">，其价格分为满分。其他投标人的价格分统一按照下列公式计算：</w:t>
            </w:r>
            <w:r>
              <w:rPr>
                <w:color w:val="000000"/>
                <w:sz w:val="24"/>
                <w:highlight w:val="none"/>
              </w:rPr>
            </w:r>
            <w:r/>
          </w:p>
          <w:p>
            <w:pPr>
              <w:pStyle w:val="1005"/>
              <w:rPr>
                <w:color w:val="000000"/>
                <w:sz w:val="24"/>
                <w:highlight w:val="none"/>
              </w:rPr>
            </w:pPr>
            <w:r>
              <w:rPr>
                <w:color w:val="000000"/>
                <w:sz w:val="24"/>
                <w:highlight w:val="none"/>
              </w:rPr>
              <w:t xml:space="preserve">投标报价得分＝</w:t>
            </w:r>
            <w:r>
              <w:rPr>
                <w:rFonts w:hint="eastAsia"/>
                <w:color w:val="000000"/>
                <w:sz w:val="24"/>
                <w:highlight w:val="none"/>
              </w:rPr>
              <w:t xml:space="preserve">[</w:t>
            </w:r>
            <w:r>
              <w:rPr>
                <w:color w:val="000000"/>
                <w:sz w:val="24"/>
                <w:highlight w:val="none"/>
              </w:rPr>
              <w:t xml:space="preserve">评标</w:t>
            </w:r>
            <w:r>
              <w:rPr>
                <w:rFonts w:hint="eastAsia"/>
                <w:color w:val="000000"/>
                <w:sz w:val="24"/>
                <w:highlight w:val="none"/>
              </w:rPr>
              <w:t xml:space="preserve">基准单价</w:t>
            </w:r>
            <w:r>
              <w:rPr>
                <w:color w:val="000000"/>
                <w:sz w:val="24"/>
                <w:highlight w:val="none"/>
              </w:rPr>
              <w:t xml:space="preserve">/</w:t>
            </w:r>
            <w:r>
              <w:rPr>
                <w:rFonts w:hint="eastAsia"/>
                <w:color w:val="000000"/>
                <w:sz w:val="24"/>
                <w:highlight w:val="none"/>
              </w:rPr>
              <w:t xml:space="preserve">（1-投标优惠率）]</w:t>
            </w:r>
            <w:r>
              <w:rPr>
                <w:color w:val="000000"/>
                <w:sz w:val="24"/>
                <w:highlight w:val="none"/>
              </w:rPr>
              <w:t xml:space="preserve">×分值。</w:t>
            </w:r>
            <w:r>
              <w:rPr>
                <w:color w:val="000000"/>
                <w:sz w:val="24"/>
                <w:highlight w:val="none"/>
              </w:rPr>
            </w:r>
            <w:r/>
          </w:p>
        </w:tc>
        <w:tc>
          <w:tcPr>
            <w:tcW w:w="2772" w:type="dxa"/>
            <w:vAlign w:val="center"/>
            <w:textDirection w:val="lrTb"/>
            <w:noWrap w:val="false"/>
          </w:tcPr>
          <w:p>
            <w:pPr>
              <w:pStyle w:val="1005"/>
              <w:ind w:left="-38"/>
              <w:rPr>
                <w:color w:val="000000"/>
                <w:sz w:val="24"/>
                <w:highlight w:val="none"/>
              </w:rPr>
            </w:pPr>
            <w:r>
              <w:rPr>
                <w:rFonts w:hint="eastAsia"/>
                <w:color w:val="000000"/>
                <w:sz w:val="24"/>
                <w:highlight w:val="none"/>
              </w:rPr>
              <w:t xml:space="preserve">此处投标报价指经过报价修正，及</w:t>
            </w:r>
            <w:r>
              <w:rPr>
                <w:color w:val="000000"/>
                <w:sz w:val="24"/>
                <w:highlight w:val="none"/>
              </w:rPr>
              <w:t xml:space="preserve">因落实政府采购政策进行价格调整</w:t>
            </w:r>
            <w:r>
              <w:rPr>
                <w:rFonts w:hint="eastAsia"/>
                <w:color w:val="000000"/>
                <w:sz w:val="24"/>
                <w:highlight w:val="none"/>
              </w:rPr>
              <w:t xml:space="preserve">后</w:t>
            </w:r>
            <w:r>
              <w:rPr>
                <w:color w:val="000000"/>
                <w:sz w:val="24"/>
                <w:highlight w:val="none"/>
              </w:rPr>
              <w:t xml:space="preserve">的</w:t>
            </w:r>
            <w:r>
              <w:rPr>
                <w:rFonts w:hint="eastAsia"/>
                <w:color w:val="000000"/>
                <w:sz w:val="24"/>
                <w:highlight w:val="none"/>
              </w:rPr>
              <w:t xml:space="preserve">报价</w:t>
            </w:r>
            <w:r>
              <w:rPr>
                <w:color w:val="000000"/>
                <w:sz w:val="24"/>
                <w:highlight w:val="none"/>
              </w:rPr>
              <w:t xml:space="preserve">，详见第四章《评标方法和评标标准》</w:t>
            </w:r>
            <w:r>
              <w:rPr>
                <w:rFonts w:hint="eastAsia"/>
                <w:color w:val="000000"/>
                <w:sz w:val="24"/>
                <w:highlight w:val="none"/>
              </w:rPr>
              <w:t xml:space="preserve">2</w:t>
            </w:r>
            <w:r>
              <w:rPr>
                <w:color w:val="000000"/>
                <w:sz w:val="24"/>
                <w:highlight w:val="none"/>
              </w:rPr>
              <w:t xml:space="preserve">.4</w:t>
            </w:r>
            <w:r>
              <w:rPr>
                <w:rFonts w:hint="eastAsia"/>
                <w:color w:val="000000"/>
                <w:sz w:val="24"/>
                <w:highlight w:val="none"/>
              </w:rPr>
              <w:t xml:space="preserve">及</w:t>
            </w:r>
            <w:r>
              <w:rPr>
                <w:color w:val="000000"/>
                <w:sz w:val="24"/>
                <w:highlight w:val="none"/>
              </w:rPr>
              <w:t xml:space="preserve">2.5。</w:t>
            </w:r>
            <w:r>
              <w:rPr>
                <w:color w:val="000000"/>
                <w:sz w:val="24"/>
                <w:highlight w:val="none"/>
              </w:rPr>
            </w:r>
            <w:r/>
          </w:p>
        </w:tc>
      </w:tr>
      <w:tr>
        <w:trPr/>
        <w:tc>
          <w:tcPr>
            <w:tcW w:w="763" w:type="dxa"/>
            <w:vAlign w:val="center"/>
            <w:textDirection w:val="lrTb"/>
            <w:noWrap w:val="false"/>
          </w:tcPr>
          <w:p>
            <w:pPr>
              <w:pStyle w:val="1005"/>
              <w:ind w:firstLine="28"/>
              <w:jc w:val="center"/>
              <w:rPr>
                <w:b/>
                <w:color w:val="000000"/>
                <w:sz w:val="24"/>
                <w:highlight w:val="none"/>
              </w:rPr>
            </w:pPr>
            <w:r>
              <w:rPr>
                <w:rFonts w:hint="eastAsia"/>
                <w:b/>
                <w:color w:val="000000"/>
                <w:sz w:val="24"/>
                <w:highlight w:val="none"/>
              </w:rPr>
              <w:t xml:space="preserve">2</w:t>
            </w:r>
            <w:r>
              <w:rPr>
                <w:b/>
                <w:color w:val="000000"/>
                <w:sz w:val="24"/>
                <w:highlight w:val="none"/>
              </w:rPr>
            </w:r>
            <w:r/>
          </w:p>
        </w:tc>
        <w:tc>
          <w:tcPr>
            <w:tcW w:w="1410" w:type="dxa"/>
            <w:vAlign w:val="center"/>
            <w:textDirection w:val="lrTb"/>
            <w:noWrap w:val="false"/>
          </w:tcPr>
          <w:p>
            <w:pPr>
              <w:pStyle w:val="1005"/>
              <w:ind w:firstLine="28"/>
              <w:jc w:val="center"/>
              <w:rPr>
                <w:b/>
                <w:color w:val="000000"/>
                <w:sz w:val="24"/>
                <w:highlight w:val="none"/>
              </w:rPr>
            </w:pPr>
            <w:r>
              <w:rPr>
                <w:rFonts w:hint="eastAsia"/>
                <w:b/>
                <w:color w:val="000000"/>
                <w:sz w:val="24"/>
                <w:highlight w:val="none"/>
              </w:rPr>
              <w:t xml:space="preserve">主观分</w:t>
            </w:r>
            <w:r>
              <w:rPr>
                <w:b/>
                <w:color w:val="000000"/>
                <w:sz w:val="24"/>
                <w:highlight w:val="none"/>
              </w:rPr>
            </w:r>
            <w:r/>
          </w:p>
        </w:tc>
        <w:tc>
          <w:tcPr>
            <w:tcW w:w="840" w:type="dxa"/>
            <w:vAlign w:val="center"/>
            <w:textDirection w:val="lrTb"/>
            <w:noWrap w:val="false"/>
          </w:tcPr>
          <w:p>
            <w:pPr>
              <w:pStyle w:val="1005"/>
              <w:ind w:firstLine="28"/>
              <w:jc w:val="center"/>
              <w:rPr>
                <w:b/>
                <w:color w:val="000000"/>
                <w:sz w:val="24"/>
                <w:highlight w:val="none"/>
              </w:rPr>
            </w:pPr>
            <w:r>
              <w:rPr>
                <w:rFonts w:hint="eastAsia"/>
                <w:b/>
                <w:color w:val="000000"/>
                <w:sz w:val="24"/>
                <w:highlight w:val="none"/>
              </w:rPr>
              <w:t xml:space="preserve">18</w:t>
            </w:r>
            <w:r>
              <w:rPr>
                <w:b/>
                <w:color w:val="000000"/>
                <w:sz w:val="24"/>
                <w:highlight w:val="none"/>
              </w:rPr>
            </w:r>
            <w:r/>
          </w:p>
        </w:tc>
        <w:tc>
          <w:tcPr>
            <w:tcW w:w="3885" w:type="dxa"/>
            <w:vAlign w:val="center"/>
            <w:textDirection w:val="lrTb"/>
            <w:noWrap w:val="false"/>
          </w:tcPr>
          <w:p>
            <w:pPr>
              <w:pStyle w:val="1005"/>
              <w:rPr>
                <w:color w:val="000000"/>
                <w:sz w:val="24"/>
                <w:highlight w:val="none"/>
              </w:rPr>
            </w:pPr>
            <w:r>
              <w:rPr>
                <w:color w:val="000000"/>
                <w:sz w:val="24"/>
                <w:highlight w:val="none"/>
              </w:rPr>
            </w:r>
            <w:r/>
          </w:p>
        </w:tc>
        <w:tc>
          <w:tcPr>
            <w:tcW w:w="2772" w:type="dxa"/>
            <w:vAlign w:val="center"/>
            <w:textDirection w:val="lrTb"/>
            <w:noWrap w:val="false"/>
          </w:tcPr>
          <w:p>
            <w:pPr>
              <w:pStyle w:val="1005"/>
              <w:ind w:left="-38"/>
              <w:rPr>
                <w:color w:val="000000"/>
                <w:sz w:val="24"/>
                <w:highlight w:val="none"/>
              </w:rPr>
            </w:pPr>
            <w:r>
              <w:rPr>
                <w:color w:val="000000"/>
                <w:sz w:val="24"/>
                <w:highlight w:val="none"/>
              </w:rPr>
            </w:r>
            <w:r/>
          </w:p>
        </w:tc>
      </w:tr>
      <w:tr>
        <w:trPr/>
        <w:tc>
          <w:tcPr>
            <w:tcW w:w="763" w:type="dxa"/>
            <w:vAlign w:val="center"/>
            <w:textDirection w:val="lrTb"/>
            <w:noWrap w:val="false"/>
          </w:tcPr>
          <w:p>
            <w:pPr>
              <w:pStyle w:val="1005"/>
              <w:ind w:firstLine="28"/>
              <w:jc w:val="center"/>
              <w:rPr>
                <w:color w:val="000000"/>
                <w:sz w:val="24"/>
                <w:highlight w:val="none"/>
              </w:rPr>
            </w:pPr>
            <w:r>
              <w:rPr>
                <w:rFonts w:hint="eastAsia"/>
                <w:color w:val="000000"/>
                <w:sz w:val="24"/>
                <w:highlight w:val="none"/>
              </w:rPr>
              <w:t xml:space="preserve">2.1</w:t>
            </w:r>
            <w:r>
              <w:rPr>
                <w:color w:val="000000"/>
                <w:sz w:val="24"/>
                <w:highlight w:val="none"/>
              </w:rPr>
            </w:r>
            <w:r/>
          </w:p>
        </w:tc>
        <w:tc>
          <w:tcPr>
            <w:tcW w:w="1410" w:type="dxa"/>
            <w:vAlign w:val="center"/>
            <w:textDirection w:val="lrTb"/>
            <w:noWrap w:val="false"/>
          </w:tcPr>
          <w:p>
            <w:pPr>
              <w:pStyle w:val="1005"/>
              <w:ind w:firstLine="28"/>
              <w:jc w:val="center"/>
              <w:rPr>
                <w:color w:val="000000"/>
                <w:sz w:val="24"/>
                <w:highlight w:val="none"/>
              </w:rPr>
            </w:pPr>
            <w:r>
              <w:rPr>
                <w:rFonts w:hint="eastAsia" w:ascii="宋体" w:hAnsi="宋体"/>
                <w:color w:val="000000"/>
                <w:sz w:val="24"/>
                <w:highlight w:val="none"/>
              </w:rPr>
              <w:t xml:space="preserve">项目理解和实施方案</w:t>
            </w:r>
            <w:r>
              <w:rPr>
                <w:color w:val="000000"/>
                <w:sz w:val="24"/>
                <w:highlight w:val="none"/>
              </w:rPr>
            </w:r>
            <w:r/>
          </w:p>
        </w:tc>
        <w:tc>
          <w:tcPr>
            <w:tcW w:w="840" w:type="dxa"/>
            <w:vAlign w:val="center"/>
            <w:textDirection w:val="lrTb"/>
            <w:noWrap w:val="false"/>
          </w:tcPr>
          <w:p>
            <w:pPr>
              <w:pStyle w:val="1005"/>
              <w:ind w:firstLine="28"/>
              <w:jc w:val="center"/>
              <w:rPr>
                <w:rFonts w:hint="eastAsia"/>
                <w:color w:val="000000"/>
                <w:sz w:val="24"/>
                <w:highlight w:val="none"/>
              </w:rPr>
            </w:pPr>
            <w:r>
              <w:rPr>
                <w:rFonts w:hint="eastAsia"/>
                <w:color w:val="000000"/>
                <w:sz w:val="24"/>
                <w:highlight w:val="none"/>
              </w:rPr>
              <w:t xml:space="preserve">6</w:t>
            </w:r>
            <w:r>
              <w:rPr>
                <w:rFonts w:hint="eastAsia"/>
                <w:color w:val="000000"/>
                <w:sz w:val="24"/>
                <w:highlight w:val="none"/>
              </w:rPr>
            </w:r>
            <w:r/>
          </w:p>
        </w:tc>
        <w:tc>
          <w:tcPr>
            <w:tcW w:w="3885" w:type="dxa"/>
            <w:vAlign w:val="center"/>
            <w:textDirection w:val="lrTb"/>
            <w:noWrap w:val="false"/>
          </w:tcPr>
          <w:p>
            <w:pPr>
              <w:pStyle w:val="1005"/>
              <w:jc w:val="left"/>
              <w:spacing w:before="100" w:beforeAutospacing="1" w:after="100" w:afterAutospacing="1"/>
              <w:widowControl/>
              <w:rPr>
                <w:rFonts w:hint="eastAsia" w:ascii="宋体" w:hAnsi="宋体" w:cs="宋体"/>
                <w:color w:val="000000"/>
                <w:sz w:val="24"/>
                <w:highlight w:val="none"/>
              </w:rPr>
            </w:pPr>
            <w:r>
              <w:rPr>
                <w:rFonts w:hint="eastAsia" w:ascii="宋体" w:hAnsi="宋体"/>
                <w:color w:val="000000"/>
                <w:sz w:val="24"/>
                <w:highlight w:val="none"/>
              </w:rPr>
              <w:t xml:space="preserve">从工艺理解、控制策略、统筹管理等方面进行综合评判。工艺理解深刻、控制策略精细、统筹管理全面，得6分；工艺理解比较深刻、控制策略比较精细、统筹管理比较全面，得4分；工艺理解不深刻、控制策略不精细、统筹管理不全面，得2分；未提供，不得分。</w:t>
            </w:r>
            <w:r>
              <w:rPr>
                <w:rFonts w:hint="eastAsia" w:ascii="宋体" w:hAnsi="宋体" w:cs="宋体"/>
                <w:color w:val="000000"/>
                <w:sz w:val="24"/>
                <w:highlight w:val="none"/>
              </w:rPr>
            </w:r>
            <w:r/>
          </w:p>
        </w:tc>
        <w:tc>
          <w:tcPr>
            <w:tcW w:w="2772" w:type="dxa"/>
            <w:vAlign w:val="center"/>
            <w:vMerge w:val="restart"/>
            <w:textDirection w:val="lrTb"/>
            <w:noWrap w:val="false"/>
          </w:tcPr>
          <w:p>
            <w:pPr>
              <w:pStyle w:val="1005"/>
              <w:ind w:left="-38"/>
              <w:rPr>
                <w:rFonts w:hint="eastAsia"/>
                <w:b/>
                <w:color w:val="000000"/>
                <w:sz w:val="24"/>
                <w:highlight w:val="none"/>
              </w:rPr>
            </w:pPr>
            <w:r>
              <w:rPr>
                <w:rFonts w:hint="eastAsia"/>
                <w:b/>
                <w:color w:val="000000"/>
                <w:sz w:val="24"/>
                <w:highlight w:val="none"/>
              </w:rPr>
              <w:t xml:space="preserve">须提供服务方案，否则不得分。</w:t>
            </w:r>
            <w:r>
              <w:rPr>
                <w:rFonts w:hint="eastAsia"/>
                <w:b/>
                <w:color w:val="000000"/>
                <w:sz w:val="24"/>
                <w:highlight w:val="none"/>
              </w:rPr>
            </w:r>
            <w:r/>
          </w:p>
        </w:tc>
      </w:tr>
      <w:tr>
        <w:trPr/>
        <w:tc>
          <w:tcPr>
            <w:tcW w:w="763" w:type="dxa"/>
            <w:vAlign w:val="center"/>
            <w:textDirection w:val="lrTb"/>
            <w:noWrap w:val="false"/>
          </w:tcPr>
          <w:p>
            <w:pPr>
              <w:pStyle w:val="1005"/>
              <w:ind w:firstLine="28"/>
              <w:jc w:val="center"/>
              <w:rPr>
                <w:color w:val="000000"/>
                <w:sz w:val="24"/>
                <w:highlight w:val="none"/>
              </w:rPr>
            </w:pPr>
            <w:r>
              <w:rPr>
                <w:color w:val="000000"/>
                <w:sz w:val="24"/>
                <w:highlight w:val="none"/>
              </w:rPr>
              <w:t xml:space="preserve">2.2</w:t>
            </w:r>
            <w:r>
              <w:rPr>
                <w:color w:val="000000"/>
                <w:sz w:val="24"/>
                <w:highlight w:val="none"/>
              </w:rPr>
            </w:r>
            <w:r/>
          </w:p>
        </w:tc>
        <w:tc>
          <w:tcPr>
            <w:tcW w:w="1410" w:type="dxa"/>
            <w:vAlign w:val="center"/>
            <w:textDirection w:val="lrTb"/>
            <w:noWrap w:val="false"/>
          </w:tcPr>
          <w:p>
            <w:pPr>
              <w:pStyle w:val="1005"/>
              <w:ind w:firstLine="28"/>
              <w:jc w:val="center"/>
              <w:rPr>
                <w:rFonts w:ascii="宋体" w:hAnsi="宋体" w:cs="宋体"/>
                <w:bCs/>
                <w:color w:val="000000"/>
                <w:sz w:val="24"/>
                <w:highlight w:val="none"/>
              </w:rPr>
            </w:pPr>
            <w:r>
              <w:rPr>
                <w:rFonts w:hint="eastAsia" w:ascii="宋体" w:hAnsi="宋体"/>
                <w:color w:val="000000"/>
                <w:sz w:val="24"/>
                <w:highlight w:val="none"/>
              </w:rPr>
              <w:t xml:space="preserve">重点难点分析及解决方案</w:t>
            </w:r>
            <w:r>
              <w:rPr>
                <w:rFonts w:ascii="宋体" w:hAnsi="宋体" w:cs="宋体"/>
                <w:bCs/>
                <w:color w:val="000000"/>
                <w:sz w:val="24"/>
                <w:highlight w:val="none"/>
              </w:rPr>
            </w:r>
            <w:r/>
          </w:p>
        </w:tc>
        <w:tc>
          <w:tcPr>
            <w:tcW w:w="840" w:type="dxa"/>
            <w:vAlign w:val="center"/>
            <w:textDirection w:val="lrTb"/>
            <w:noWrap w:val="false"/>
          </w:tcPr>
          <w:p>
            <w:pPr>
              <w:pStyle w:val="1005"/>
              <w:ind w:firstLine="28"/>
              <w:jc w:val="center"/>
              <w:rPr>
                <w:rFonts w:hint="eastAsia"/>
                <w:color w:val="000000"/>
                <w:sz w:val="24"/>
                <w:highlight w:val="none"/>
              </w:rPr>
            </w:pPr>
            <w:r>
              <w:rPr>
                <w:rFonts w:hint="eastAsia"/>
                <w:color w:val="000000"/>
                <w:sz w:val="24"/>
                <w:highlight w:val="none"/>
              </w:rPr>
              <w:t xml:space="preserve">6</w:t>
            </w:r>
            <w:r>
              <w:rPr>
                <w:rFonts w:hint="eastAsia"/>
                <w:color w:val="000000"/>
                <w:sz w:val="24"/>
                <w:highlight w:val="none"/>
              </w:rPr>
            </w:r>
            <w:r/>
          </w:p>
        </w:tc>
        <w:tc>
          <w:tcPr>
            <w:tcW w:w="3885" w:type="dxa"/>
            <w:vAlign w:val="center"/>
            <w:textDirection w:val="lrTb"/>
            <w:noWrap w:val="false"/>
          </w:tcPr>
          <w:p>
            <w:pPr>
              <w:pStyle w:val="1005"/>
              <w:jc w:val="left"/>
              <w:spacing w:before="100" w:beforeAutospacing="1" w:after="100" w:afterAutospacing="1"/>
              <w:widowControl/>
              <w:rPr>
                <w:rFonts w:hint="eastAsia" w:ascii="宋体" w:hAnsi="宋体" w:cs="宋体"/>
                <w:color w:val="000000"/>
                <w:sz w:val="24"/>
                <w:highlight w:val="none"/>
              </w:rPr>
            </w:pPr>
            <w:r>
              <w:rPr>
                <w:rFonts w:hint="eastAsia" w:ascii="宋体" w:hAnsi="宋体"/>
                <w:color w:val="000000"/>
                <w:sz w:val="24"/>
                <w:highlight w:val="none"/>
              </w:rPr>
              <w:t xml:space="preserve">从影响工艺运行的重点、难点，及相应解决方案等方面进行综合评判。覆盖全面、措施描述科学合理、可行性强，得6分；覆盖比较全面、措施描述比较合理、具有一定可行性，得4分；覆盖不全面、措施描述合理性一般、可行性不强，得2分；未提供，不得分。</w:t>
            </w:r>
            <w:r>
              <w:rPr>
                <w:rFonts w:hint="eastAsia" w:ascii="宋体" w:hAnsi="宋体" w:cs="宋体"/>
                <w:color w:val="000000"/>
                <w:sz w:val="24"/>
                <w:highlight w:val="none"/>
              </w:rPr>
            </w:r>
            <w:r/>
          </w:p>
        </w:tc>
        <w:tc>
          <w:tcPr>
            <w:tcW w:w="2772" w:type="dxa"/>
            <w:vAlign w:val="center"/>
            <w:vMerge w:val="continue"/>
            <w:textDirection w:val="lrTb"/>
            <w:noWrap w:val="false"/>
          </w:tcPr>
          <w:p>
            <w:pPr>
              <w:pStyle w:val="1005"/>
              <w:ind w:left="-38"/>
              <w:rPr>
                <w:color w:val="000000"/>
                <w:sz w:val="24"/>
                <w:highlight w:val="none"/>
              </w:rPr>
            </w:pPr>
            <w:r>
              <w:rPr>
                <w:color w:val="000000"/>
                <w:sz w:val="24"/>
                <w:highlight w:val="none"/>
              </w:rPr>
            </w:r>
            <w:r/>
          </w:p>
        </w:tc>
      </w:tr>
      <w:tr>
        <w:trPr/>
        <w:tc>
          <w:tcPr>
            <w:tcW w:w="763" w:type="dxa"/>
            <w:vAlign w:val="center"/>
            <w:textDirection w:val="lrTb"/>
            <w:noWrap w:val="false"/>
          </w:tcPr>
          <w:p>
            <w:pPr>
              <w:pStyle w:val="1005"/>
              <w:ind w:firstLine="28"/>
              <w:jc w:val="center"/>
              <w:rPr>
                <w:color w:val="000000"/>
                <w:sz w:val="24"/>
                <w:highlight w:val="none"/>
              </w:rPr>
            </w:pPr>
            <w:r>
              <w:rPr>
                <w:rFonts w:hint="eastAsia"/>
                <w:color w:val="000000"/>
                <w:sz w:val="24"/>
                <w:highlight w:val="none"/>
              </w:rPr>
              <w:t xml:space="preserve">2</w:t>
            </w:r>
            <w:r>
              <w:rPr>
                <w:color w:val="000000"/>
                <w:sz w:val="24"/>
                <w:highlight w:val="none"/>
              </w:rPr>
              <w:t xml:space="preserve">.3</w:t>
            </w:r>
            <w:r>
              <w:rPr>
                <w:color w:val="000000"/>
                <w:sz w:val="24"/>
                <w:highlight w:val="none"/>
              </w:rPr>
            </w:r>
            <w:r/>
          </w:p>
        </w:tc>
        <w:tc>
          <w:tcPr>
            <w:tcW w:w="1410" w:type="dxa"/>
            <w:vAlign w:val="center"/>
            <w:textDirection w:val="lrTb"/>
            <w:noWrap w:val="false"/>
          </w:tcPr>
          <w:p>
            <w:pPr>
              <w:pStyle w:val="1005"/>
              <w:ind w:firstLine="28"/>
              <w:jc w:val="center"/>
              <w:rPr>
                <w:rFonts w:ascii="宋体" w:hAnsi="宋体" w:cs="宋体"/>
                <w:bCs/>
                <w:color w:val="000000"/>
                <w:sz w:val="24"/>
                <w:highlight w:val="none"/>
              </w:rPr>
            </w:pPr>
            <w:r>
              <w:rPr>
                <w:rFonts w:hint="eastAsia" w:ascii="宋体" w:hAnsi="宋体"/>
                <w:color w:val="000000"/>
                <w:sz w:val="24"/>
                <w:highlight w:val="none"/>
              </w:rPr>
              <w:t xml:space="preserve">应急预案</w:t>
            </w:r>
            <w:r>
              <w:rPr>
                <w:rFonts w:ascii="宋体" w:hAnsi="宋体" w:cs="宋体"/>
                <w:bCs/>
                <w:color w:val="000000"/>
                <w:sz w:val="24"/>
                <w:highlight w:val="none"/>
              </w:rPr>
            </w:r>
            <w:r/>
          </w:p>
        </w:tc>
        <w:tc>
          <w:tcPr>
            <w:tcW w:w="840" w:type="dxa"/>
            <w:vAlign w:val="center"/>
            <w:textDirection w:val="lrTb"/>
            <w:noWrap w:val="false"/>
          </w:tcPr>
          <w:p>
            <w:pPr>
              <w:pStyle w:val="1005"/>
              <w:ind w:firstLine="28"/>
              <w:jc w:val="center"/>
              <w:rPr>
                <w:rFonts w:hint="eastAsia"/>
                <w:color w:val="000000"/>
                <w:sz w:val="24"/>
                <w:highlight w:val="none"/>
              </w:rPr>
            </w:pPr>
            <w:r>
              <w:rPr>
                <w:rFonts w:hint="eastAsia"/>
                <w:color w:val="000000"/>
                <w:sz w:val="24"/>
                <w:highlight w:val="none"/>
              </w:rPr>
              <w:t xml:space="preserve">6</w:t>
            </w:r>
            <w:r>
              <w:rPr>
                <w:rFonts w:hint="eastAsia"/>
                <w:color w:val="000000"/>
                <w:sz w:val="24"/>
                <w:highlight w:val="none"/>
              </w:rPr>
            </w:r>
            <w:r/>
          </w:p>
        </w:tc>
        <w:tc>
          <w:tcPr>
            <w:tcW w:w="3885" w:type="dxa"/>
            <w:vAlign w:val="center"/>
            <w:textDirection w:val="lrTb"/>
            <w:noWrap w:val="false"/>
          </w:tcPr>
          <w:p>
            <w:pPr>
              <w:pStyle w:val="1005"/>
              <w:jc w:val="left"/>
              <w:spacing w:before="100" w:beforeAutospacing="1" w:after="100" w:afterAutospacing="1"/>
              <w:widowControl/>
              <w:rPr>
                <w:rFonts w:hint="eastAsia" w:ascii="宋体" w:hAnsi="宋体" w:cs="宋体"/>
                <w:color w:val="000000"/>
                <w:sz w:val="24"/>
                <w:highlight w:val="none"/>
              </w:rPr>
            </w:pPr>
            <w:r>
              <w:rPr>
                <w:rFonts w:hint="eastAsia" w:ascii="宋体" w:hAnsi="宋体"/>
                <w:color w:val="000000"/>
                <w:sz w:val="24"/>
                <w:highlight w:val="none"/>
              </w:rPr>
              <w:t xml:space="preserve">从场景覆盖、流程、保障措施等方面进行综合评判。场景覆盖全面、流程完善、保障措施可行性强，得6分；场景覆盖比较全面、流程比较完善、保障措施可行性比较强，得4分；场景覆盖不全面、流程不完善、保障措施可行性差，得2分；未提供，不得分。</w:t>
            </w:r>
            <w:r>
              <w:rPr>
                <w:rFonts w:hint="eastAsia" w:ascii="宋体" w:hAnsi="宋体" w:cs="宋体"/>
                <w:color w:val="000000"/>
                <w:sz w:val="24"/>
                <w:highlight w:val="none"/>
              </w:rPr>
            </w:r>
            <w:r/>
          </w:p>
        </w:tc>
        <w:tc>
          <w:tcPr>
            <w:tcW w:w="2772" w:type="dxa"/>
            <w:vAlign w:val="center"/>
            <w:vMerge w:val="continue"/>
            <w:textDirection w:val="lrTb"/>
            <w:noWrap w:val="false"/>
          </w:tcPr>
          <w:p>
            <w:pPr>
              <w:pStyle w:val="1005"/>
              <w:ind w:left="-38"/>
              <w:rPr>
                <w:color w:val="000000"/>
                <w:sz w:val="24"/>
                <w:highlight w:val="none"/>
              </w:rPr>
            </w:pPr>
            <w:r>
              <w:rPr>
                <w:color w:val="000000"/>
                <w:sz w:val="24"/>
                <w:highlight w:val="none"/>
              </w:rPr>
            </w:r>
            <w:r/>
          </w:p>
        </w:tc>
      </w:tr>
      <w:tr>
        <w:trPr/>
        <w:tc>
          <w:tcPr>
            <w:tcW w:w="763" w:type="dxa"/>
            <w:vAlign w:val="center"/>
            <w:textDirection w:val="lrTb"/>
            <w:noWrap w:val="false"/>
          </w:tcPr>
          <w:p>
            <w:pPr>
              <w:pStyle w:val="1005"/>
              <w:ind w:firstLine="28"/>
              <w:jc w:val="center"/>
              <w:rPr>
                <w:b/>
                <w:color w:val="000000"/>
                <w:sz w:val="24"/>
                <w:highlight w:val="none"/>
              </w:rPr>
            </w:pPr>
            <w:r>
              <w:rPr>
                <w:rFonts w:hint="eastAsia"/>
                <w:b/>
                <w:color w:val="000000"/>
                <w:sz w:val="24"/>
                <w:highlight w:val="none"/>
              </w:rPr>
              <w:t xml:space="preserve">3</w:t>
            </w:r>
            <w:r>
              <w:rPr>
                <w:b/>
                <w:color w:val="000000"/>
                <w:sz w:val="24"/>
                <w:highlight w:val="none"/>
              </w:rPr>
            </w:r>
            <w:r/>
          </w:p>
        </w:tc>
        <w:tc>
          <w:tcPr>
            <w:tcW w:w="1410" w:type="dxa"/>
            <w:vAlign w:val="center"/>
            <w:textDirection w:val="lrTb"/>
            <w:noWrap w:val="false"/>
          </w:tcPr>
          <w:p>
            <w:pPr>
              <w:pStyle w:val="1005"/>
              <w:ind w:firstLine="28"/>
              <w:jc w:val="center"/>
              <w:rPr>
                <w:b/>
                <w:color w:val="000000"/>
                <w:sz w:val="24"/>
                <w:highlight w:val="none"/>
              </w:rPr>
            </w:pPr>
            <w:r>
              <w:rPr>
                <w:rFonts w:hint="eastAsia"/>
                <w:b/>
                <w:color w:val="000000"/>
                <w:sz w:val="24"/>
                <w:highlight w:val="none"/>
              </w:rPr>
              <w:t xml:space="preserve">客观分</w:t>
            </w:r>
            <w:r>
              <w:rPr>
                <w:b/>
                <w:color w:val="000000"/>
                <w:sz w:val="24"/>
                <w:highlight w:val="none"/>
              </w:rPr>
            </w:r>
            <w:r/>
          </w:p>
        </w:tc>
        <w:tc>
          <w:tcPr>
            <w:tcW w:w="840" w:type="dxa"/>
            <w:vAlign w:val="center"/>
            <w:textDirection w:val="lrTb"/>
            <w:noWrap w:val="false"/>
          </w:tcPr>
          <w:p>
            <w:pPr>
              <w:pStyle w:val="1005"/>
              <w:ind w:firstLine="28"/>
              <w:jc w:val="center"/>
              <w:rPr>
                <w:b/>
                <w:color w:val="000000"/>
                <w:sz w:val="24"/>
                <w:highlight w:val="none"/>
              </w:rPr>
            </w:pPr>
            <w:r>
              <w:rPr>
                <w:rFonts w:hint="eastAsia"/>
                <w:b/>
                <w:color w:val="000000"/>
                <w:sz w:val="24"/>
                <w:highlight w:val="none"/>
              </w:rPr>
              <w:t xml:space="preserve">36</w:t>
            </w:r>
            <w:r>
              <w:rPr>
                <w:b/>
                <w:color w:val="000000"/>
                <w:sz w:val="24"/>
                <w:highlight w:val="none"/>
              </w:rPr>
            </w:r>
            <w:r/>
          </w:p>
        </w:tc>
        <w:tc>
          <w:tcPr>
            <w:tcW w:w="3885" w:type="dxa"/>
            <w:vAlign w:val="center"/>
            <w:textDirection w:val="lrTb"/>
            <w:noWrap w:val="false"/>
          </w:tcPr>
          <w:p>
            <w:pPr>
              <w:pStyle w:val="1005"/>
              <w:rPr>
                <w:color w:val="000000"/>
                <w:sz w:val="24"/>
                <w:highlight w:val="none"/>
              </w:rPr>
            </w:pPr>
            <w:r>
              <w:rPr>
                <w:color w:val="000000"/>
                <w:sz w:val="24"/>
                <w:highlight w:val="none"/>
              </w:rPr>
            </w:r>
            <w:r/>
          </w:p>
        </w:tc>
        <w:tc>
          <w:tcPr>
            <w:tcW w:w="2772" w:type="dxa"/>
            <w:vAlign w:val="center"/>
            <w:textDirection w:val="lrTb"/>
            <w:noWrap w:val="false"/>
          </w:tcPr>
          <w:p>
            <w:pPr>
              <w:pStyle w:val="1005"/>
              <w:ind w:left="-38"/>
              <w:rPr>
                <w:color w:val="000000"/>
                <w:sz w:val="24"/>
                <w:highlight w:val="none"/>
              </w:rPr>
            </w:pPr>
            <w:r>
              <w:rPr>
                <w:color w:val="000000"/>
                <w:sz w:val="24"/>
                <w:highlight w:val="none"/>
              </w:rPr>
            </w:r>
            <w:r/>
          </w:p>
        </w:tc>
      </w:tr>
      <w:tr>
        <w:trPr/>
        <w:tc>
          <w:tcPr>
            <w:tcW w:w="763" w:type="dxa"/>
            <w:vAlign w:val="center"/>
            <w:textDirection w:val="lrTb"/>
            <w:noWrap w:val="false"/>
          </w:tcPr>
          <w:p>
            <w:pPr>
              <w:pStyle w:val="1005"/>
              <w:ind w:firstLine="28"/>
              <w:jc w:val="center"/>
              <w:rPr>
                <w:rFonts w:hint="eastAsia"/>
                <w:color w:val="000000"/>
                <w:sz w:val="24"/>
                <w:highlight w:val="none"/>
              </w:rPr>
            </w:pPr>
            <w:r>
              <w:rPr>
                <w:rFonts w:hint="eastAsia"/>
                <w:color w:val="000000"/>
                <w:sz w:val="24"/>
                <w:highlight w:val="none"/>
              </w:rPr>
              <w:t xml:space="preserve">3.1</w:t>
            </w:r>
            <w:r>
              <w:rPr>
                <w:rFonts w:hint="eastAsia"/>
                <w:color w:val="000000"/>
                <w:sz w:val="24"/>
                <w:highlight w:val="none"/>
              </w:rPr>
            </w:r>
            <w:r/>
          </w:p>
        </w:tc>
        <w:tc>
          <w:tcPr>
            <w:tcW w:w="1410" w:type="dxa"/>
            <w:vAlign w:val="center"/>
            <w:textDirection w:val="lrTb"/>
            <w:noWrap w:val="false"/>
          </w:tcPr>
          <w:p>
            <w:pPr>
              <w:pStyle w:val="1005"/>
              <w:ind w:firstLine="28"/>
              <w:jc w:val="center"/>
              <w:rPr>
                <w:rFonts w:hint="eastAsia"/>
                <w:color w:val="000000"/>
                <w:sz w:val="24"/>
                <w:highlight w:val="none"/>
              </w:rPr>
            </w:pPr>
            <w:r>
              <w:rPr>
                <w:rFonts w:hint="eastAsia"/>
                <w:color w:val="000000"/>
                <w:sz w:val="24"/>
                <w:highlight w:val="none"/>
              </w:rPr>
              <w:t xml:space="preserve">业绩</w:t>
            </w:r>
            <w:r>
              <w:rPr>
                <w:rFonts w:hint="eastAsia"/>
                <w:color w:val="000000"/>
                <w:sz w:val="24"/>
                <w:highlight w:val="none"/>
              </w:rPr>
            </w:r>
            <w:r/>
          </w:p>
        </w:tc>
        <w:tc>
          <w:tcPr>
            <w:tcW w:w="840" w:type="dxa"/>
            <w:vAlign w:val="center"/>
            <w:textDirection w:val="lrTb"/>
            <w:noWrap w:val="false"/>
          </w:tcPr>
          <w:p>
            <w:pPr>
              <w:pStyle w:val="1005"/>
              <w:ind w:firstLine="28"/>
              <w:jc w:val="center"/>
              <w:rPr>
                <w:color w:val="000000"/>
                <w:sz w:val="24"/>
                <w:highlight w:val="none"/>
              </w:rPr>
            </w:pPr>
            <w:r>
              <w:rPr>
                <w:rFonts w:hint="eastAsia"/>
                <w:color w:val="000000"/>
                <w:sz w:val="24"/>
                <w:highlight w:val="none"/>
              </w:rPr>
              <w:t xml:space="preserve">10</w:t>
            </w:r>
            <w:r>
              <w:rPr>
                <w:color w:val="000000"/>
                <w:sz w:val="24"/>
                <w:highlight w:val="none"/>
              </w:rPr>
            </w:r>
            <w:r/>
          </w:p>
        </w:tc>
        <w:tc>
          <w:tcPr>
            <w:tcW w:w="3885" w:type="dxa"/>
            <w:vAlign w:val="center"/>
            <w:textDirection w:val="lrTb"/>
            <w:noWrap w:val="false"/>
          </w:tcPr>
          <w:p>
            <w:pPr>
              <w:pStyle w:val="1005"/>
              <w:rPr>
                <w:color w:val="000000"/>
                <w:sz w:val="24"/>
                <w:highlight w:val="none"/>
              </w:rPr>
            </w:pPr>
            <w:r>
              <w:rPr>
                <w:rFonts w:hint="eastAsia" w:ascii="宋体" w:hAnsi="宋体" w:cs="宋体"/>
                <w:color w:val="000000"/>
                <w:sz w:val="24"/>
                <w:highlight w:val="none"/>
              </w:rPr>
              <w:t xml:space="preserve">投标人提供自2020年1月1日（含）以来（以合同签订时间为准）与本项目类似业绩（如污水处理设施设备运维、河水处理设施设备运维等，不限定行业及地域）。每有1个业绩，得2分，本项最高得10分。</w:t>
            </w:r>
            <w:r>
              <w:rPr>
                <w:color w:val="000000"/>
                <w:sz w:val="24"/>
                <w:highlight w:val="none"/>
              </w:rPr>
            </w:r>
            <w:r/>
          </w:p>
        </w:tc>
        <w:tc>
          <w:tcPr>
            <w:tcW w:w="2772" w:type="dxa"/>
            <w:vAlign w:val="center"/>
            <w:textDirection w:val="lrTb"/>
            <w:noWrap w:val="false"/>
          </w:tcPr>
          <w:p>
            <w:pPr>
              <w:pStyle w:val="1005"/>
              <w:ind w:left="-38"/>
              <w:rPr>
                <w:rFonts w:hint="eastAsia"/>
                <w:b/>
                <w:color w:val="000000"/>
                <w:sz w:val="24"/>
                <w:highlight w:val="none"/>
              </w:rPr>
            </w:pPr>
            <w:r>
              <w:rPr>
                <w:rFonts w:hint="eastAsia"/>
                <w:b/>
                <w:color w:val="000000"/>
                <w:sz w:val="24"/>
                <w:highlight w:val="none"/>
              </w:rPr>
              <w:t xml:space="preserve">须提供合同扫描件并加盖投标人公章，否则不得分。</w:t>
            </w:r>
            <w:r>
              <w:rPr>
                <w:rFonts w:hint="eastAsia"/>
                <w:b/>
                <w:color w:val="000000"/>
                <w:sz w:val="24"/>
                <w:highlight w:val="none"/>
              </w:rPr>
            </w:r>
            <w:r/>
          </w:p>
        </w:tc>
      </w:tr>
      <w:tr>
        <w:trPr/>
        <w:tc>
          <w:tcPr>
            <w:tcW w:w="763" w:type="dxa"/>
            <w:vAlign w:val="center"/>
            <w:vMerge w:val="restart"/>
            <w:textDirection w:val="lrTb"/>
            <w:noWrap w:val="false"/>
          </w:tcPr>
          <w:p>
            <w:pPr>
              <w:pStyle w:val="1005"/>
              <w:ind w:firstLine="28"/>
              <w:jc w:val="center"/>
              <w:rPr>
                <w:color w:val="000000"/>
                <w:sz w:val="24"/>
                <w:highlight w:val="none"/>
              </w:rPr>
            </w:pPr>
            <w:r>
              <w:rPr>
                <w:rFonts w:hint="eastAsia"/>
                <w:color w:val="000000"/>
                <w:sz w:val="24"/>
                <w:highlight w:val="none"/>
              </w:rPr>
              <w:t xml:space="preserve">3.2</w:t>
            </w:r>
            <w:r>
              <w:rPr>
                <w:color w:val="000000"/>
                <w:sz w:val="24"/>
                <w:highlight w:val="none"/>
              </w:rPr>
            </w:r>
            <w:r/>
          </w:p>
        </w:tc>
        <w:tc>
          <w:tcPr>
            <w:tcW w:w="1410" w:type="dxa"/>
            <w:vAlign w:val="center"/>
            <w:vMerge w:val="restart"/>
            <w:textDirection w:val="lrTb"/>
            <w:noWrap w:val="false"/>
          </w:tcPr>
          <w:p>
            <w:pPr>
              <w:pStyle w:val="1005"/>
              <w:ind w:firstLine="28"/>
              <w:jc w:val="center"/>
              <w:rPr>
                <w:rFonts w:hint="eastAsia"/>
                <w:color w:val="000000"/>
                <w:sz w:val="24"/>
                <w:highlight w:val="none"/>
              </w:rPr>
            </w:pPr>
            <w:r>
              <w:rPr>
                <w:rFonts w:hint="eastAsia"/>
                <w:color w:val="000000"/>
                <w:sz w:val="24"/>
                <w:highlight w:val="none"/>
              </w:rPr>
              <w:t xml:space="preserve">项目负责人</w:t>
            </w:r>
            <w:r>
              <w:rPr>
                <w:rFonts w:hint="eastAsia"/>
                <w:color w:val="000000"/>
                <w:sz w:val="24"/>
                <w:highlight w:val="none"/>
              </w:rPr>
            </w:r>
            <w:r/>
          </w:p>
        </w:tc>
        <w:tc>
          <w:tcPr>
            <w:tcW w:w="840" w:type="dxa"/>
            <w:vAlign w:val="center"/>
            <w:textDirection w:val="lrTb"/>
            <w:noWrap w:val="false"/>
          </w:tcPr>
          <w:p>
            <w:pPr>
              <w:pStyle w:val="1005"/>
              <w:ind w:firstLine="28"/>
              <w:jc w:val="center"/>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3885" w:type="dxa"/>
            <w:vAlign w:val="center"/>
            <w:textDirection w:val="lrTb"/>
            <w:noWrap w:val="false"/>
          </w:tcPr>
          <w:p>
            <w:pPr>
              <w:pStyle w:val="1005"/>
              <w:rPr>
                <w:rFonts w:hint="eastAsia" w:ascii="宋体" w:hAnsi="宋体" w:cs="宋体"/>
                <w:bCs/>
                <w:color w:val="000000"/>
                <w:sz w:val="24"/>
                <w:highlight w:val="none"/>
              </w:rPr>
            </w:pPr>
            <w:r>
              <w:rPr>
                <w:rFonts w:hint="eastAsia" w:ascii="宋体" w:hAnsi="宋体" w:cs="宋体"/>
                <w:color w:val="000000"/>
                <w:sz w:val="24"/>
                <w:highlight w:val="none"/>
              </w:rPr>
              <w:t xml:space="preserve">具有给排水类或环境工程类或机械电气类或化学工程类本科及以上学历，得5分；</w:t>
            </w:r>
            <w:r>
              <w:rPr>
                <w:rFonts w:hint="eastAsia" w:ascii="宋体" w:hAnsi="宋体" w:cs="宋体"/>
                <w:bCs/>
                <w:color w:val="000000"/>
                <w:sz w:val="24"/>
                <w:highlight w:val="none"/>
              </w:rPr>
            </w:r>
            <w:r/>
          </w:p>
        </w:tc>
        <w:tc>
          <w:tcPr>
            <w:tcW w:w="2772" w:type="dxa"/>
            <w:vAlign w:val="center"/>
            <w:vMerge w:val="restart"/>
            <w:textDirection w:val="lrTb"/>
            <w:noWrap w:val="false"/>
          </w:tcPr>
          <w:p>
            <w:pPr>
              <w:pStyle w:val="1005"/>
              <w:ind w:left="-40"/>
              <w:rPr>
                <w:rFonts w:hint="eastAsia"/>
                <w:b/>
                <w:color w:val="000000"/>
                <w:sz w:val="24"/>
                <w:highlight w:val="none"/>
              </w:rPr>
            </w:pPr>
            <w:r>
              <w:rPr>
                <w:rFonts w:hint="eastAsia"/>
                <w:b/>
                <w:color w:val="000000"/>
                <w:sz w:val="24"/>
                <w:highlight w:val="none"/>
              </w:rPr>
              <w:t xml:space="preserve">须提供毕业证书、职称证书，以及投标人为其缴纳的2025年9月至2025年11月三个月中任意一个月的社保证明材料扫描件并加盖</w:t>
            </w:r>
            <w:r>
              <w:rPr>
                <w:rFonts w:hint="eastAsia"/>
                <w:b/>
                <w:color w:val="000000"/>
                <w:sz w:val="24"/>
                <w:highlight w:val="none"/>
              </w:rPr>
              <w:t xml:space="preserve">投标人</w:t>
            </w:r>
            <w:r>
              <w:rPr>
                <w:rFonts w:hint="eastAsia"/>
                <w:b/>
                <w:color w:val="000000"/>
                <w:sz w:val="24"/>
                <w:highlight w:val="none"/>
              </w:rPr>
              <w:t xml:space="preserve">公章，否则不得分。</w:t>
            </w:r>
            <w:r>
              <w:rPr>
                <w:rFonts w:hint="eastAsia"/>
                <w:b/>
                <w:color w:val="000000"/>
                <w:sz w:val="24"/>
                <w:highlight w:val="none"/>
              </w:rPr>
            </w:r>
            <w:r/>
          </w:p>
          <w:p>
            <w:pPr>
              <w:pStyle w:val="1005"/>
              <w:ind w:left="-40"/>
              <w:rPr>
                <w:rFonts w:hint="eastAsia"/>
                <w:b/>
                <w:color w:val="000000"/>
                <w:sz w:val="24"/>
                <w:highlight w:val="none"/>
              </w:rPr>
            </w:pPr>
            <w:r>
              <w:rPr>
                <w:rFonts w:hint="eastAsia"/>
                <w:b/>
                <w:color w:val="000000"/>
                <w:sz w:val="24"/>
                <w:highlight w:val="none"/>
              </w:rPr>
              <w:t xml:space="preserve">注：技术负责人与项目负责人不能为同一人。</w:t>
            </w:r>
            <w:r>
              <w:rPr>
                <w:rFonts w:hint="eastAsia"/>
                <w:b/>
                <w:color w:val="000000"/>
                <w:sz w:val="24"/>
                <w:highlight w:val="none"/>
              </w:rPr>
            </w:r>
            <w:r/>
          </w:p>
        </w:tc>
      </w:tr>
      <w:tr>
        <w:trPr/>
        <w:tc>
          <w:tcPr>
            <w:tcW w:w="763" w:type="dxa"/>
            <w:vAlign w:val="center"/>
            <w:vMerge w:val="continue"/>
            <w:textDirection w:val="lrTb"/>
            <w:noWrap w:val="false"/>
          </w:tcPr>
          <w:p>
            <w:pPr>
              <w:pStyle w:val="1005"/>
              <w:ind w:firstLine="28"/>
              <w:jc w:val="center"/>
              <w:rPr>
                <w:rFonts w:hint="eastAsia"/>
                <w:color w:val="000000"/>
                <w:sz w:val="24"/>
                <w:highlight w:val="none"/>
              </w:rPr>
            </w:pPr>
            <w:r>
              <w:rPr>
                <w:rFonts w:hint="eastAsia"/>
                <w:color w:val="000000"/>
                <w:sz w:val="24"/>
                <w:highlight w:val="none"/>
              </w:rPr>
            </w:r>
            <w:r/>
          </w:p>
        </w:tc>
        <w:tc>
          <w:tcPr>
            <w:tcW w:w="1410" w:type="dxa"/>
            <w:vAlign w:val="center"/>
            <w:vMerge w:val="continue"/>
            <w:textDirection w:val="lrTb"/>
            <w:noWrap w:val="false"/>
          </w:tcPr>
          <w:p>
            <w:pPr>
              <w:pStyle w:val="1005"/>
              <w:ind w:firstLine="28"/>
              <w:jc w:val="center"/>
              <w:rPr>
                <w:rFonts w:hint="eastAsia"/>
                <w:color w:val="000000"/>
                <w:sz w:val="24"/>
                <w:highlight w:val="none"/>
              </w:rPr>
            </w:pPr>
            <w:r>
              <w:rPr>
                <w:rFonts w:hint="eastAsia"/>
                <w:color w:val="000000"/>
                <w:sz w:val="24"/>
                <w:highlight w:val="none"/>
              </w:rPr>
            </w:r>
            <w:r/>
          </w:p>
        </w:tc>
        <w:tc>
          <w:tcPr>
            <w:tcW w:w="840" w:type="dxa"/>
            <w:vAlign w:val="center"/>
            <w:textDirection w:val="lrTb"/>
            <w:noWrap w:val="false"/>
          </w:tcPr>
          <w:p>
            <w:pPr>
              <w:pStyle w:val="1005"/>
              <w:ind w:firstLine="28"/>
              <w:jc w:val="center"/>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3885" w:type="dxa"/>
            <w:vAlign w:val="center"/>
            <w:textDirection w:val="lrTb"/>
            <w:noWrap w:val="false"/>
          </w:tcPr>
          <w:p>
            <w:pPr>
              <w:pStyle w:val="1005"/>
              <w:rPr>
                <w:rFonts w:hint="eastAsia" w:ascii="宋体" w:hAnsi="宋体" w:cs="宋体"/>
                <w:color w:val="000000"/>
                <w:sz w:val="24"/>
                <w:highlight w:val="none"/>
              </w:rPr>
            </w:pPr>
            <w:r>
              <w:rPr>
                <w:rFonts w:hint="eastAsia" w:ascii="宋体" w:hAnsi="宋体" w:cs="宋体"/>
                <w:color w:val="000000"/>
                <w:sz w:val="24"/>
                <w:highlight w:val="none"/>
              </w:rPr>
              <w:t xml:space="preserve">具备环境工程类或给排水类中级职称，得3分；具备环境工程类或给排水类副高级工程师及以上职称，得5分。</w:t>
            </w:r>
            <w:r>
              <w:rPr>
                <w:rFonts w:hint="eastAsia" w:ascii="宋体" w:hAnsi="宋体" w:cs="宋体"/>
                <w:color w:val="000000"/>
                <w:sz w:val="24"/>
                <w:highlight w:val="none"/>
              </w:rPr>
            </w:r>
            <w:r/>
          </w:p>
        </w:tc>
        <w:tc>
          <w:tcPr>
            <w:tcW w:w="2772" w:type="dxa"/>
            <w:vAlign w:val="center"/>
            <w:vMerge w:val="continue"/>
            <w:textDirection w:val="lrTb"/>
            <w:noWrap w:val="false"/>
          </w:tcPr>
          <w:p>
            <w:pPr>
              <w:pStyle w:val="1005"/>
              <w:ind w:left="-40"/>
              <w:rPr>
                <w:rFonts w:hint="eastAsia"/>
                <w:b/>
                <w:color w:val="000000"/>
                <w:sz w:val="24"/>
                <w:highlight w:val="none"/>
              </w:rPr>
            </w:pPr>
            <w:r>
              <w:rPr>
                <w:rFonts w:hint="eastAsia"/>
                <w:b/>
                <w:color w:val="000000"/>
                <w:sz w:val="24"/>
                <w:highlight w:val="none"/>
              </w:rPr>
            </w:r>
            <w:r/>
          </w:p>
        </w:tc>
      </w:tr>
      <w:tr>
        <w:trPr/>
        <w:tc>
          <w:tcPr>
            <w:tcW w:w="763" w:type="dxa"/>
            <w:vAlign w:val="center"/>
            <w:vMerge w:val="restart"/>
            <w:textDirection w:val="lrTb"/>
            <w:noWrap w:val="false"/>
          </w:tcPr>
          <w:p>
            <w:pPr>
              <w:pStyle w:val="1005"/>
              <w:ind w:firstLine="28"/>
              <w:jc w:val="center"/>
              <w:rPr>
                <w:color w:val="000000"/>
                <w:sz w:val="24"/>
                <w:highlight w:val="none"/>
              </w:rPr>
            </w:pPr>
            <w:r>
              <w:rPr>
                <w:rFonts w:hint="eastAsia"/>
                <w:color w:val="000000"/>
                <w:sz w:val="24"/>
                <w:highlight w:val="none"/>
              </w:rPr>
              <w:t xml:space="preserve">3.3</w:t>
            </w:r>
            <w:r>
              <w:rPr>
                <w:color w:val="000000"/>
                <w:sz w:val="24"/>
                <w:highlight w:val="none"/>
              </w:rPr>
            </w:r>
            <w:r/>
          </w:p>
        </w:tc>
        <w:tc>
          <w:tcPr>
            <w:tcW w:w="1410" w:type="dxa"/>
            <w:vAlign w:val="center"/>
            <w:vMerge w:val="restart"/>
            <w:textDirection w:val="lrTb"/>
            <w:noWrap w:val="false"/>
          </w:tcPr>
          <w:p>
            <w:pPr>
              <w:pStyle w:val="1005"/>
              <w:ind w:firstLine="28"/>
              <w:jc w:val="center"/>
              <w:rPr>
                <w:rFonts w:hint="eastAsia" w:ascii="宋体" w:hAnsi="宋体" w:cs="宋体"/>
                <w:color w:val="000000"/>
                <w:sz w:val="24"/>
                <w:highlight w:val="none"/>
              </w:rPr>
            </w:pPr>
            <w:r>
              <w:rPr>
                <w:rFonts w:hint="eastAsia"/>
                <w:color w:val="000000"/>
                <w:sz w:val="24"/>
                <w:highlight w:val="none"/>
              </w:rPr>
              <w:t xml:space="preserve">技术负责人</w:t>
            </w:r>
            <w:r>
              <w:rPr>
                <w:rFonts w:hint="eastAsia" w:ascii="宋体" w:hAnsi="宋体" w:cs="宋体"/>
                <w:color w:val="000000"/>
                <w:sz w:val="24"/>
                <w:highlight w:val="none"/>
              </w:rPr>
              <w:t xml:space="preserve">（与项目负责人不能为同一人）</w:t>
            </w:r>
            <w:r>
              <w:rPr>
                <w:rFonts w:hint="eastAsia" w:ascii="宋体" w:hAnsi="宋体" w:cs="宋体"/>
                <w:color w:val="000000"/>
                <w:sz w:val="24"/>
                <w:highlight w:val="none"/>
              </w:rPr>
            </w:r>
            <w:r/>
          </w:p>
        </w:tc>
        <w:tc>
          <w:tcPr>
            <w:tcW w:w="840" w:type="dxa"/>
            <w:vAlign w:val="center"/>
            <w:textDirection w:val="lrTb"/>
            <w:noWrap w:val="false"/>
          </w:tcPr>
          <w:p>
            <w:pPr>
              <w:pStyle w:val="1005"/>
              <w:ind w:firstLine="28"/>
              <w:jc w:val="center"/>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3885" w:type="dxa"/>
            <w:vAlign w:val="center"/>
            <w:textDirection w:val="lrTb"/>
            <w:noWrap w:val="false"/>
          </w:tcPr>
          <w:p>
            <w:pPr>
              <w:pStyle w:val="1005"/>
              <w:rPr>
                <w:rFonts w:ascii="宋体" w:hAnsi="宋体" w:cs="宋体"/>
                <w:bCs/>
                <w:color w:val="000000"/>
                <w:sz w:val="24"/>
                <w:highlight w:val="none"/>
              </w:rPr>
            </w:pPr>
            <w:r>
              <w:rPr>
                <w:rFonts w:hint="eastAsia" w:ascii="宋体" w:hAnsi="宋体" w:cs="宋体"/>
                <w:color w:val="000000"/>
                <w:sz w:val="24"/>
                <w:highlight w:val="none"/>
              </w:rPr>
              <w:t xml:space="preserve">具有环境工程类或给排水类相关专业硕士及以上学历，得5分；本项最高得5分。</w:t>
            </w:r>
            <w:r>
              <w:rPr>
                <w:rFonts w:ascii="宋体" w:hAnsi="宋体" w:cs="宋体"/>
                <w:bCs/>
                <w:color w:val="000000"/>
                <w:sz w:val="24"/>
                <w:highlight w:val="none"/>
              </w:rPr>
            </w:r>
            <w:r/>
          </w:p>
        </w:tc>
        <w:tc>
          <w:tcPr>
            <w:tcW w:w="2772" w:type="dxa"/>
            <w:vAlign w:val="center"/>
            <w:vMerge w:val="continue"/>
            <w:textDirection w:val="lrTb"/>
            <w:noWrap w:val="false"/>
          </w:tcPr>
          <w:p>
            <w:pPr>
              <w:pStyle w:val="1005"/>
              <w:ind w:left="-40"/>
              <w:rPr>
                <w:rFonts w:hint="eastAsia"/>
                <w:b/>
                <w:color w:val="000000"/>
                <w:sz w:val="24"/>
                <w:highlight w:val="none"/>
              </w:rPr>
            </w:pPr>
            <w:r>
              <w:rPr>
                <w:rFonts w:hint="eastAsia"/>
                <w:b/>
                <w:color w:val="000000"/>
                <w:sz w:val="24"/>
                <w:highlight w:val="none"/>
              </w:rPr>
            </w:r>
            <w:r/>
          </w:p>
        </w:tc>
      </w:tr>
      <w:tr>
        <w:trPr/>
        <w:tc>
          <w:tcPr>
            <w:tcW w:w="763" w:type="dxa"/>
            <w:vAlign w:val="center"/>
            <w:vMerge w:val="continue"/>
            <w:textDirection w:val="lrTb"/>
            <w:noWrap w:val="false"/>
          </w:tcPr>
          <w:p>
            <w:pPr>
              <w:pStyle w:val="1005"/>
              <w:ind w:firstLine="28"/>
              <w:jc w:val="center"/>
              <w:rPr>
                <w:rFonts w:hint="eastAsia"/>
                <w:color w:val="000000"/>
                <w:sz w:val="24"/>
                <w:highlight w:val="none"/>
              </w:rPr>
            </w:pPr>
            <w:r>
              <w:rPr>
                <w:rFonts w:hint="eastAsia"/>
                <w:color w:val="000000"/>
                <w:sz w:val="24"/>
                <w:highlight w:val="none"/>
              </w:rPr>
            </w:r>
            <w:r/>
          </w:p>
        </w:tc>
        <w:tc>
          <w:tcPr>
            <w:tcW w:w="1410" w:type="dxa"/>
            <w:vAlign w:val="center"/>
            <w:vMerge w:val="continue"/>
            <w:textDirection w:val="lrTb"/>
            <w:noWrap w:val="false"/>
          </w:tcPr>
          <w:p>
            <w:pPr>
              <w:pStyle w:val="1005"/>
              <w:ind w:firstLine="28"/>
              <w:jc w:val="center"/>
              <w:rPr>
                <w:rFonts w:hint="eastAsia"/>
                <w:color w:val="000000"/>
                <w:sz w:val="24"/>
                <w:highlight w:val="none"/>
              </w:rPr>
            </w:pPr>
            <w:r>
              <w:rPr>
                <w:rFonts w:hint="eastAsia"/>
                <w:color w:val="000000"/>
                <w:sz w:val="24"/>
                <w:highlight w:val="none"/>
              </w:rPr>
            </w:r>
            <w:r/>
          </w:p>
        </w:tc>
        <w:tc>
          <w:tcPr>
            <w:tcW w:w="840" w:type="dxa"/>
            <w:vAlign w:val="center"/>
            <w:textDirection w:val="lrTb"/>
            <w:noWrap w:val="false"/>
          </w:tcPr>
          <w:p>
            <w:pPr>
              <w:pStyle w:val="1005"/>
              <w:ind w:firstLine="28"/>
              <w:jc w:val="center"/>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3885" w:type="dxa"/>
            <w:vAlign w:val="center"/>
            <w:textDirection w:val="lrTb"/>
            <w:noWrap w:val="false"/>
          </w:tcPr>
          <w:p>
            <w:pPr>
              <w:pStyle w:val="1005"/>
              <w:rPr>
                <w:rFonts w:hint="eastAsia" w:ascii="宋体" w:hAnsi="宋体" w:cs="宋体"/>
                <w:color w:val="000000"/>
                <w:sz w:val="24"/>
                <w:highlight w:val="none"/>
              </w:rPr>
            </w:pPr>
            <w:r>
              <w:rPr>
                <w:rFonts w:hint="eastAsia" w:ascii="宋体" w:hAnsi="宋体" w:cs="宋体"/>
                <w:color w:val="000000"/>
                <w:sz w:val="24"/>
                <w:highlight w:val="none"/>
              </w:rPr>
              <w:t xml:space="preserve">具备环境工程类或给排水类中级职称，得3分；具备环境工程类或给排水类副高级工程师及以上职称，得5分。</w:t>
            </w:r>
            <w:r>
              <w:rPr>
                <w:rFonts w:hint="eastAsia" w:ascii="宋体" w:hAnsi="宋体" w:cs="宋体"/>
                <w:color w:val="000000"/>
                <w:sz w:val="24"/>
                <w:highlight w:val="none"/>
              </w:rPr>
            </w:r>
            <w:r/>
          </w:p>
        </w:tc>
        <w:tc>
          <w:tcPr>
            <w:tcW w:w="2772" w:type="dxa"/>
            <w:vAlign w:val="center"/>
            <w:vMerge w:val="continue"/>
            <w:textDirection w:val="lrTb"/>
            <w:noWrap w:val="false"/>
          </w:tcPr>
          <w:p>
            <w:pPr>
              <w:pStyle w:val="1005"/>
              <w:ind w:left="-40"/>
              <w:rPr>
                <w:rFonts w:hint="eastAsia"/>
                <w:b/>
                <w:color w:val="000000"/>
                <w:sz w:val="24"/>
                <w:highlight w:val="none"/>
              </w:rPr>
            </w:pPr>
            <w:r>
              <w:rPr>
                <w:rFonts w:hint="eastAsia"/>
                <w:b/>
                <w:color w:val="000000"/>
                <w:sz w:val="24"/>
                <w:highlight w:val="none"/>
              </w:rPr>
            </w:r>
            <w:r/>
          </w:p>
        </w:tc>
      </w:tr>
      <w:tr>
        <w:trPr/>
        <w:tc>
          <w:tcPr>
            <w:tcW w:w="763" w:type="dxa"/>
            <w:vAlign w:val="center"/>
            <w:textDirection w:val="lrTb"/>
            <w:noWrap w:val="false"/>
          </w:tcPr>
          <w:p>
            <w:pPr>
              <w:pStyle w:val="1005"/>
              <w:ind w:firstLine="28"/>
              <w:jc w:val="center"/>
              <w:rPr>
                <w:color w:val="000000"/>
                <w:sz w:val="24"/>
                <w:highlight w:val="none"/>
              </w:rPr>
            </w:pPr>
            <w:r>
              <w:rPr>
                <w:rFonts w:hint="eastAsia"/>
                <w:color w:val="000000"/>
                <w:sz w:val="24"/>
                <w:highlight w:val="none"/>
              </w:rPr>
              <w:t xml:space="preserve">3.4</w:t>
            </w:r>
            <w:r>
              <w:rPr>
                <w:color w:val="000000"/>
                <w:sz w:val="24"/>
                <w:highlight w:val="none"/>
              </w:rPr>
            </w:r>
            <w:r/>
          </w:p>
        </w:tc>
        <w:tc>
          <w:tcPr>
            <w:tcW w:w="1410" w:type="dxa"/>
            <w:vAlign w:val="center"/>
            <w:textDirection w:val="lrTb"/>
            <w:noWrap w:val="false"/>
          </w:tcPr>
          <w:p>
            <w:pPr>
              <w:pStyle w:val="1005"/>
              <w:ind w:firstLine="28"/>
              <w:jc w:val="center"/>
              <w:rPr>
                <w:rFonts w:hint="eastAsia" w:ascii="宋体" w:hAnsi="宋体" w:cs="宋体"/>
                <w:color w:val="000000"/>
                <w:sz w:val="24"/>
                <w:highlight w:val="none"/>
              </w:rPr>
            </w:pPr>
            <w:r>
              <w:rPr>
                <w:rFonts w:hint="eastAsia"/>
                <w:color w:val="000000"/>
                <w:sz w:val="24"/>
                <w:highlight w:val="none"/>
              </w:rPr>
              <w:t xml:space="preserve">企业能力</w:t>
            </w:r>
            <w:r>
              <w:rPr>
                <w:rFonts w:hint="eastAsia" w:ascii="宋体" w:hAnsi="宋体" w:cs="宋体"/>
                <w:color w:val="000000"/>
                <w:sz w:val="24"/>
                <w:highlight w:val="none"/>
              </w:rPr>
            </w:r>
            <w:r/>
          </w:p>
        </w:tc>
        <w:tc>
          <w:tcPr>
            <w:tcW w:w="840" w:type="dxa"/>
            <w:vAlign w:val="center"/>
            <w:textDirection w:val="lrTb"/>
            <w:noWrap w:val="false"/>
          </w:tcPr>
          <w:p>
            <w:pPr>
              <w:pStyle w:val="1005"/>
              <w:ind w:firstLine="28"/>
              <w:jc w:val="center"/>
              <w:rPr>
                <w:color w:val="000000"/>
                <w:sz w:val="24"/>
                <w:highlight w:val="none"/>
              </w:rPr>
            </w:pPr>
            <w:r>
              <w:rPr>
                <w:rFonts w:hint="eastAsia"/>
                <w:color w:val="000000"/>
                <w:sz w:val="24"/>
                <w:highlight w:val="none"/>
              </w:rPr>
              <w:t xml:space="preserve">6</w:t>
            </w:r>
            <w:r>
              <w:rPr>
                <w:color w:val="000000"/>
                <w:sz w:val="24"/>
                <w:highlight w:val="none"/>
              </w:rPr>
            </w:r>
            <w:r/>
          </w:p>
        </w:tc>
        <w:tc>
          <w:tcPr>
            <w:tcW w:w="3885" w:type="dxa"/>
            <w:vAlign w:val="center"/>
            <w:textDirection w:val="lrTb"/>
            <w:noWrap w:val="false"/>
          </w:tcPr>
          <w:p>
            <w:pPr>
              <w:pStyle w:val="1005"/>
              <w:rPr>
                <w:color w:val="000000"/>
                <w:highlight w:val="none"/>
              </w:rPr>
            </w:pPr>
            <w:r>
              <w:rPr>
                <w:rFonts w:hint="eastAsia" w:ascii="宋体" w:hAnsi="宋体" w:cs="宋体"/>
                <w:color w:val="000000"/>
                <w:sz w:val="24"/>
                <w:highlight w:val="none"/>
              </w:rPr>
              <w:t xml:space="preserve">投标单位具有有效期内质量管理体系认证、环境管理体系认证、职业健康安全管理体系认证，每有一个，得2分。本项最高得6分。</w:t>
            </w:r>
            <w:r>
              <w:rPr>
                <w:color w:val="000000"/>
                <w:highlight w:val="none"/>
              </w:rPr>
            </w:r>
            <w:r/>
          </w:p>
        </w:tc>
        <w:tc>
          <w:tcPr>
            <w:tcW w:w="2772" w:type="dxa"/>
            <w:vAlign w:val="center"/>
            <w:textDirection w:val="lrTb"/>
            <w:noWrap w:val="false"/>
          </w:tcPr>
          <w:p>
            <w:pPr>
              <w:pStyle w:val="1005"/>
              <w:ind w:left="-38"/>
              <w:rPr>
                <w:rFonts w:hint="eastAsia"/>
                <w:b/>
                <w:color w:val="000000"/>
                <w:sz w:val="24"/>
                <w:highlight w:val="none"/>
              </w:rPr>
            </w:pPr>
            <w:r>
              <w:rPr>
                <w:rFonts w:hint="eastAsia" w:ascii="宋体" w:hAnsi="宋体" w:cs="宋体"/>
                <w:b/>
                <w:color w:val="000000"/>
                <w:sz w:val="24"/>
                <w:highlight w:val="none"/>
              </w:rPr>
              <w:t xml:space="preserve">须</w:t>
            </w:r>
            <w:r>
              <w:rPr>
                <w:rFonts w:hint="eastAsia"/>
                <w:b/>
                <w:color w:val="000000"/>
                <w:sz w:val="24"/>
                <w:highlight w:val="none"/>
              </w:rPr>
              <w:t xml:space="preserve">提供证书扫描件并加盖公章，否则不得分。</w:t>
            </w:r>
            <w:r>
              <w:rPr>
                <w:rFonts w:hint="eastAsia"/>
                <w:b/>
                <w:color w:val="000000"/>
                <w:sz w:val="24"/>
                <w:highlight w:val="none"/>
              </w:rPr>
            </w:r>
            <w:r/>
          </w:p>
        </w:tc>
      </w:tr>
      <w:tr>
        <w:trPr>
          <w:trHeight w:val="437"/>
        </w:trPr>
        <w:tc>
          <w:tcPr>
            <w:gridSpan w:val="2"/>
            <w:tcW w:w="2173" w:type="dxa"/>
            <w:vAlign w:val="center"/>
            <w:textDirection w:val="lrTb"/>
            <w:noWrap w:val="false"/>
          </w:tcPr>
          <w:p>
            <w:pPr>
              <w:pStyle w:val="1005"/>
              <w:ind w:firstLine="28"/>
              <w:jc w:val="center"/>
              <w:rPr>
                <w:color w:val="000000"/>
                <w:sz w:val="24"/>
                <w:highlight w:val="none"/>
              </w:rPr>
            </w:pPr>
            <w:r>
              <w:rPr>
                <w:color w:val="000000"/>
                <w:sz w:val="24"/>
                <w:highlight w:val="none"/>
              </w:rPr>
              <w:t xml:space="preserve">合计</w:t>
            </w:r>
            <w:r>
              <w:rPr>
                <w:color w:val="000000"/>
                <w:sz w:val="24"/>
                <w:highlight w:val="none"/>
              </w:rPr>
            </w:r>
            <w:r/>
          </w:p>
        </w:tc>
        <w:tc>
          <w:tcPr>
            <w:tcW w:w="840" w:type="dxa"/>
            <w:vAlign w:val="center"/>
            <w:textDirection w:val="lrTb"/>
            <w:noWrap w:val="false"/>
          </w:tcPr>
          <w:p>
            <w:pPr>
              <w:pStyle w:val="1005"/>
              <w:ind w:firstLine="28"/>
              <w:jc w:val="center"/>
              <w:rPr>
                <w:color w:val="000000"/>
                <w:sz w:val="24"/>
                <w:highlight w:val="none"/>
              </w:rPr>
            </w:pPr>
            <w:r>
              <w:rPr>
                <w:color w:val="000000"/>
                <w:sz w:val="24"/>
                <w:highlight w:val="none"/>
              </w:rPr>
              <w:t xml:space="preserve">100</w:t>
            </w:r>
            <w:r>
              <w:rPr>
                <w:color w:val="000000"/>
                <w:sz w:val="24"/>
                <w:highlight w:val="none"/>
              </w:rPr>
            </w:r>
            <w:r/>
          </w:p>
        </w:tc>
        <w:tc>
          <w:tcPr>
            <w:gridSpan w:val="2"/>
            <w:tcW w:w="6657" w:type="dxa"/>
            <w:vAlign w:val="center"/>
            <w:textDirection w:val="lrTb"/>
            <w:noWrap w:val="false"/>
          </w:tcPr>
          <w:p>
            <w:pPr>
              <w:pStyle w:val="1005"/>
              <w:rPr>
                <w:color w:val="000000"/>
                <w:sz w:val="24"/>
                <w:highlight w:val="none"/>
              </w:rPr>
            </w:pPr>
            <w:r>
              <w:rPr>
                <w:color w:val="000000"/>
                <w:sz w:val="24"/>
                <w:highlight w:val="none"/>
              </w:rPr>
            </w:r>
            <w:r/>
          </w:p>
        </w:tc>
      </w:tr>
    </w:tbl>
    <w:p>
      <w:pPr>
        <w:pStyle w:val="1005"/>
        <w:jc w:val="center"/>
        <w:spacing w:line="360" w:lineRule="auto"/>
        <w:rPr>
          <w:b/>
          <w:color w:val="000000"/>
          <w:sz w:val="36"/>
          <w:szCs w:val="36"/>
          <w:highlight w:val="none"/>
        </w:rPr>
        <w:outlineLvl w:val="0"/>
      </w:pPr>
      <w:r>
        <w:rPr>
          <w:b/>
          <w:color w:val="000000"/>
          <w:sz w:val="36"/>
          <w:szCs w:val="36"/>
          <w:highlight w:val="none"/>
        </w:rPr>
        <w:br w:type="page" w:clear="all"/>
      </w:r>
      <w:bookmarkStart w:id="815" w:name="_Toc28243"/>
      <w:r>
        <w:rPr>
          <w:b/>
          <w:color w:val="000000"/>
          <w:sz w:val="36"/>
          <w:szCs w:val="36"/>
          <w:highlight w:val="none"/>
        </w:rPr>
        <w:t xml:space="preserve">第五章   采购需求</w:t>
      </w:r>
      <w:bookmarkEnd w:id="815"/>
      <w:r>
        <w:rPr>
          <w:b/>
          <w:color w:val="000000"/>
          <w:sz w:val="36"/>
          <w:szCs w:val="36"/>
          <w:highlight w:val="none"/>
        </w:rPr>
      </w:r>
      <w:r/>
    </w:p>
    <w:p>
      <w:pPr>
        <w:pStyle w:val="100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受常州市排水管理处的委托，江苏中冠工程咨询有限公司作为招标代理机构，就其单位所需</w:t>
      </w:r>
      <w:r>
        <w:rPr>
          <w:rFonts w:hint="eastAsia" w:ascii="宋体" w:hAnsi="宋体"/>
          <w:color w:val="000000"/>
          <w:sz w:val="24"/>
          <w:highlight w:val="none"/>
          <w:lang w:eastAsia="zh-CN"/>
        </w:rPr>
        <w:t xml:space="preserve">2026年度净水站运维社会化服务</w:t>
      </w:r>
      <w:r>
        <w:rPr>
          <w:rFonts w:hint="eastAsia" w:ascii="宋体" w:hAnsi="宋体"/>
          <w:color w:val="000000"/>
          <w:sz w:val="24"/>
          <w:highlight w:val="none"/>
        </w:rPr>
        <w:t xml:space="preserve">项目进行公开招标采购。</w:t>
      </w:r>
      <w:r>
        <w:rPr>
          <w:rFonts w:ascii="宋体" w:hAnsi="宋体"/>
          <w:color w:val="000000"/>
          <w:sz w:val="24"/>
          <w:highlight w:val="none"/>
        </w:rPr>
      </w:r>
      <w:r/>
    </w:p>
    <w:p>
      <w:pPr>
        <w:pStyle w:val="1005"/>
        <w:ind w:firstLine="482"/>
        <w:jc w:val="left"/>
        <w:spacing w:line="360" w:lineRule="auto"/>
        <w:widowControl/>
        <w:rPr>
          <w:rFonts w:ascii="宋体" w:hAnsi="宋体"/>
          <w:b/>
          <w:color w:val="000000"/>
          <w:sz w:val="24"/>
          <w:highlight w:val="none"/>
        </w:rPr>
        <w:outlineLvl w:val="1"/>
      </w:pPr>
      <w:r/>
      <w:bookmarkStart w:id="816" w:name="_Toc29361"/>
      <w:r>
        <w:rPr>
          <w:rFonts w:hint="eastAsia" w:ascii="宋体" w:hAnsi="宋体"/>
          <w:b/>
          <w:color w:val="000000"/>
          <w:sz w:val="24"/>
          <w:highlight w:val="none"/>
        </w:rPr>
        <w:t xml:space="preserve">一、</w:t>
      </w:r>
      <w:r>
        <w:rPr>
          <w:rFonts w:ascii="宋体" w:hAnsi="宋体"/>
          <w:b/>
          <w:color w:val="000000"/>
          <w:sz w:val="24"/>
          <w:highlight w:val="none"/>
        </w:rPr>
        <w:t xml:space="preserve">项目</w:t>
      </w:r>
      <w:r>
        <w:rPr>
          <w:rFonts w:hint="eastAsia" w:ascii="宋体" w:hAnsi="宋体"/>
          <w:b/>
          <w:color w:val="000000"/>
          <w:sz w:val="24"/>
          <w:highlight w:val="none"/>
        </w:rPr>
        <w:t xml:space="preserve">概况</w:t>
      </w:r>
      <w:r>
        <w:rPr>
          <w:rFonts w:ascii="宋体" w:hAnsi="宋体"/>
          <w:b/>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项目由（一）广化桥净水站及东市河抽排泵站运维社会化服务、（二）椿桂园净水站及西市河抽排泵站、锁桥河抽排泵站运维社会化服务、（三）青山绿地净水站运维社会化服务、（四）五星净水站运维社会化服务、（五）双桥净水站运维社会化服务、（六）章家浜净水站运维社会化服务、（七）三宝浜净水站运维社会化服务七部分组成，且以上七个部分包含相应补水河道装置的运维服务。</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广化桥净水站补水规模为5万m³/d，通过将运河原水经潜水泵提升至净化装置，经过超磁分离水质净化系统处理后排放至南市河用于河道补水。水质净化装置产生的污泥在排入配套的污泥池，由管网所定期清理。东市河抽排泵站抽排规模为8万m³/d，与广化桥、青山绿地净水站同步运行。在南市河琢初桥、会元桥、元丰桥附近通过布设若干台造流曝气机等改善水动力，实现该位置的水力循环。</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椿桂园、青山绿地净水站补水规模均为3万m³/d，通过将关河原水经潜水泵提升至净化装置，经过超磁分离水质净化系统处理后排放至南市河用于河道补水。水质净化装置产生的污泥在排入配套的污泥池，由管网所定期清理。西市河、锁桥河抽排泵站抽排规模分别为1.5万m³/d，与椿桂园净水站同步运行。</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五星、双桥净水站补水规模均为1.5万m³/d，分别通过将运河、三井河原水经潜水泵提升至净化装置，经过超磁分离水质净化系统处理后排放至十字河、双桥浜用于河道补水。水质净化装置产生的污泥在排入配套的污泥池，由管网所定期清理。</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章家浜、三宝浜净水站补水规模分别为1.5万m³/d、2万m³/d，分别通过将章家浜、龙游河原水经潜水泵提升至净化装置，经过混凝沉淀系统处理后排放至章家浜、三宝浜用于河道补水。水质净化装置产生的污泥由管网所定期清理。</w:t>
      </w:r>
      <w:r>
        <w:rPr>
          <w:rFonts w:hint="eastAsia" w:ascii="宋体" w:hAnsi="宋体"/>
          <w:color w:val="000000"/>
          <w:sz w:val="24"/>
          <w:highlight w:val="none"/>
        </w:rPr>
      </w:r>
      <w:r/>
    </w:p>
    <w:p>
      <w:pPr>
        <w:pStyle w:val="1005"/>
        <w:ind w:firstLine="482"/>
        <w:jc w:val="left"/>
        <w:spacing w:line="360" w:lineRule="auto"/>
        <w:widowControl/>
        <w:rPr>
          <w:rFonts w:hint="eastAsia" w:ascii="宋体" w:hAnsi="宋体"/>
          <w:b/>
          <w:color w:val="000000"/>
          <w:sz w:val="24"/>
          <w:highlight w:val="none"/>
        </w:rPr>
        <w:outlineLvl w:val="1"/>
      </w:pPr>
      <w:r>
        <w:rPr>
          <w:rFonts w:hint="eastAsia" w:ascii="宋体" w:hAnsi="宋体"/>
          <w:b/>
          <w:color w:val="000000"/>
          <w:sz w:val="24"/>
          <w:highlight w:val="none"/>
        </w:rPr>
        <w:t xml:space="preserve">二、净水站设备工艺技术介绍</w:t>
      </w:r>
      <w:r>
        <w:rPr>
          <w:rFonts w:hint="eastAsia" w:ascii="宋体" w:hAnsi="宋体"/>
          <w:b/>
          <w:color w:val="000000"/>
          <w:sz w:val="24"/>
          <w:highlight w:val="none"/>
        </w:rPr>
      </w:r>
      <w:r/>
    </w:p>
    <w:p>
      <w:pPr>
        <w:pStyle w:val="1005"/>
        <w:ind w:firstLine="482"/>
        <w:spacing w:line="360" w:lineRule="auto"/>
        <w:rPr>
          <w:rFonts w:hint="eastAsia" w:ascii="宋体" w:hAnsi="宋体"/>
          <w:b/>
          <w:bCs/>
          <w:color w:val="000000"/>
          <w:sz w:val="24"/>
          <w:highlight w:val="none"/>
        </w:rPr>
        <w:outlineLvl w:val="2"/>
      </w:pPr>
      <w:r>
        <w:rPr>
          <w:rFonts w:hint="eastAsia" w:ascii="宋体" w:hAnsi="宋体"/>
          <w:b/>
          <w:bCs/>
          <w:color w:val="000000"/>
          <w:sz w:val="24"/>
          <w:highlight w:val="none"/>
        </w:rPr>
        <w:t xml:space="preserve">（一）超磁分离水质净化系统</w:t>
      </w:r>
      <w:r>
        <w:rPr>
          <w:rFonts w:hint="eastAsia" w:ascii="宋体" w:hAnsi="宋体"/>
          <w:b/>
          <w:bCs/>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1.工艺流程示意图</w:t>
      </w:r>
      <w:r>
        <w:rPr>
          <w:rFonts w:hint="eastAsia" w:ascii="宋体" w:hAnsi="宋体"/>
          <w:color w:val="000000"/>
          <w:sz w:val="24"/>
          <w:highlight w:val="none"/>
        </w:rPr>
      </w:r>
      <w:r/>
    </w:p>
    <w:p>
      <w:pPr>
        <w:pStyle w:val="1005"/>
        <w:ind w:firstLine="480"/>
        <w:jc w:val="center"/>
        <w:widowControl/>
        <w:tabs>
          <w:tab w:val="left" w:pos="1117" w:leader="none"/>
        </w:tabs>
        <w:rPr>
          <w:rFonts w:ascii="宋体" w:hAnsi="宋体"/>
          <w:color w:val="000000"/>
          <w:sz w:val="24"/>
          <w:highlight w:val="none"/>
        </w:rPr>
      </w:pPr>
      <w:r>
        <w:rPr>
          <w:rFonts w:hint="eastAsia" w:ascii="宋体" w:hAnsi="宋体"/>
          <w:color w:val="000000"/>
          <w:sz w:val="24"/>
          <w:highlight w:val="none"/>
        </w:rPr>
        <mc:AlternateContent>
          <mc:Choice Requires="wpg">
            <w:drawing>
              <wp:inline xmlns:wp="http://schemas.openxmlformats.org/drawingml/2006/wordprocessingDrawing" distT="0" distB="0" distL="0" distR="0">
                <wp:extent cx="4038524" cy="172392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038524" cy="17239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8.0pt;height:135.7pt;mso-wrap-distance-left:0.0pt;mso-wrap-distance-top:0.0pt;mso-wrap-distance-right:0.0pt;mso-wrap-distance-bottom:0.0pt;" stroked="f">
                <v:path textboxrect="0,0,0,0"/>
                <v:imagedata r:id="rId22" o:title=""/>
              </v:shape>
            </w:pict>
          </mc:Fallback>
        </mc:AlternateContent>
      </w:r>
      <w:r>
        <w:rPr>
          <w:rFonts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2.工艺描述</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由取水泵将原水提升进入混凝系统，通过在混凝系统内投加磁种和混凝剂（PAC和PAM），使悬浮物在较短时间内（约4.5min）形成以磁种为载体的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微絮团</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。混凝系统出水进入超磁分离机将微絮团吸附打捞，实现固液分离净化，使其出水水质清澈透明，超磁分离机出水达标后排入下游河道内。</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超磁分离机吸附打捞出来的磁性污泥进入系统内磁分离磁鼓机，通过磁鼓机的高速分散装置进行磁种与污泥的分离，分离出的磁种投加至混凝系统前端循环使用，非磁性污泥就近排入污泥池，由管网所定期处理。</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3.超磁分离净化系统技术参数</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（1）超磁分离水质净化系统处理进水水量</w:t>
      </w:r>
      <w:r>
        <w:rPr>
          <w:rFonts w:hint="eastAsia" w:ascii="宋体" w:hAnsi="宋体"/>
          <w:color w:val="000000"/>
          <w:sz w:val="24"/>
          <w:highlight w:val="none"/>
        </w:rPr>
      </w:r>
      <w:r/>
    </w:p>
    <w:p>
      <w:pPr>
        <w:pStyle w:val="1005"/>
        <w:ind w:firstLine="48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设计参数</w:t>
      </w:r>
      <w:r>
        <w:rPr>
          <w:rFonts w:hint="eastAsia" w:ascii="宋体" w:hAnsi="宋体"/>
          <w:color w:val="000000"/>
          <w:sz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99"/>
        <w:gridCol w:w="1703"/>
        <w:gridCol w:w="1699"/>
        <w:gridCol w:w="1699"/>
        <w:gridCol w:w="1714"/>
      </w:tblGrid>
      <w:tr>
        <w:trPr>
          <w:trHeight w:val="397"/>
        </w:trPr>
        <w:tc>
          <w:tcPr>
            <w:tcW w:w="998"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b/>
                <w:color w:val="000000"/>
                <w:sz w:val="24"/>
                <w:highlight w:val="none"/>
              </w:rPr>
              <w:t xml:space="preserve">项目</w:t>
            </w:r>
            <w:r>
              <w:rPr>
                <w:rFonts w:ascii="宋体" w:hAnsi="宋体" w:cs="宋体"/>
                <w:color w:val="000000"/>
                <w:sz w:val="24"/>
                <w:highlight w:val="none"/>
              </w:rPr>
            </w:r>
            <w:r/>
          </w:p>
        </w:tc>
        <w:tc>
          <w:tcPr>
            <w:tcW w:w="100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b/>
                <w:color w:val="000000"/>
                <w:sz w:val="24"/>
                <w:highlight w:val="none"/>
              </w:rPr>
              <w:t xml:space="preserve">单位</w:t>
            </w:r>
            <w:r>
              <w:rPr>
                <w:rFonts w:ascii="宋体" w:hAnsi="宋体" w:cs="宋体"/>
                <w:color w:val="000000"/>
                <w:sz w:val="24"/>
                <w:highlight w:val="none"/>
              </w:rPr>
            </w:r>
            <w:r/>
          </w:p>
        </w:tc>
        <w:tc>
          <w:tcPr>
            <w:gridSpan w:val="3"/>
            <w:tcW w:w="5112"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b/>
                <w:color w:val="000000"/>
                <w:sz w:val="24"/>
                <w:highlight w:val="none"/>
              </w:rPr>
              <w:t xml:space="preserve">数值</w:t>
            </w:r>
            <w:r>
              <w:rPr>
                <w:rFonts w:ascii="宋体" w:hAnsi="宋体" w:cs="宋体"/>
                <w:color w:val="000000"/>
                <w:sz w:val="24"/>
                <w:highlight w:val="none"/>
              </w:rPr>
            </w:r>
            <w:r/>
          </w:p>
        </w:tc>
      </w:tr>
      <w:tr>
        <w:trPr>
          <w:trHeight w:val="397"/>
        </w:trPr>
        <w:tc>
          <w:tcPr>
            <w:gridSpan w:val="2"/>
            <w:tcW w:w="3402" w:type="dxa"/>
            <w:vAlign w:val="center"/>
            <w:textDirection w:val="lrTb"/>
            <w:noWrap w:val="false"/>
          </w:tcPr>
          <w:p>
            <w:pPr>
              <w:pStyle w:val="1005"/>
              <w:jc w:val="center"/>
              <w:spacing w:before="60" w:after="60"/>
              <w:widowControl/>
              <w:rPr>
                <w:rFonts w:ascii="宋体" w:hAnsi="宋体" w:cs="宋体"/>
                <w:color w:val="000000"/>
                <w:sz w:val="24"/>
                <w:highlight w:val="none"/>
              </w:rPr>
            </w:pPr>
            <w:r>
              <w:rPr>
                <w:rFonts w:hint="eastAsia" w:ascii="宋体" w:hAnsi="宋体" w:cs="宋体"/>
                <w:color w:val="000000"/>
                <w:sz w:val="24"/>
                <w:highlight w:val="none"/>
                <w:lang w:val="fr-FR"/>
              </w:rPr>
              <w:t xml:space="preserve">净水站名称</w:t>
            </w:r>
            <w:r>
              <w:rPr>
                <w:rFonts w:ascii="宋体" w:hAnsi="宋体" w:cs="宋体"/>
                <w:color w:val="000000"/>
                <w:sz w:val="24"/>
                <w:highlight w:val="none"/>
              </w:rPr>
            </w:r>
            <w:r/>
          </w:p>
        </w:tc>
        <w:tc>
          <w:tcPr>
            <w:tcW w:w="998"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广化桥</w:t>
            </w:r>
            <w:r>
              <w:rPr>
                <w:rFonts w:ascii="宋体" w:hAnsi="宋体" w:cs="宋体"/>
                <w:color w:val="000000"/>
                <w:sz w:val="24"/>
                <w:highlight w:val="none"/>
              </w:rPr>
            </w:r>
            <w:r/>
          </w:p>
        </w:tc>
        <w:tc>
          <w:tcPr>
            <w:tcW w:w="998"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椿桂园、青山绿地</w:t>
            </w:r>
            <w:r>
              <w:rPr>
                <w:rFonts w:ascii="宋体" w:hAnsi="宋体" w:cs="宋体"/>
                <w:color w:val="000000"/>
                <w:sz w:val="24"/>
                <w:highlight w:val="none"/>
              </w:rPr>
            </w:r>
            <w:r/>
          </w:p>
        </w:tc>
        <w:tc>
          <w:tcPr>
            <w:tcW w:w="100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五星、双桥</w:t>
            </w:r>
            <w:r>
              <w:rPr>
                <w:rFonts w:ascii="宋体" w:hAnsi="宋体" w:cs="宋体"/>
                <w:color w:val="000000"/>
                <w:sz w:val="24"/>
                <w:highlight w:val="none"/>
              </w:rPr>
            </w:r>
            <w:r/>
          </w:p>
        </w:tc>
      </w:tr>
      <w:tr>
        <w:trPr>
          <w:trHeight w:val="397"/>
        </w:trPr>
        <w:tc>
          <w:tcPr>
            <w:tcW w:w="998" w:type="dxa"/>
            <w:vAlign w:val="center"/>
            <w:textDirection w:val="lrTb"/>
            <w:noWrap w:val="false"/>
          </w:tcPr>
          <w:p>
            <w:pPr>
              <w:pStyle w:val="1005"/>
              <w:jc w:val="center"/>
              <w:spacing w:before="60" w:after="60"/>
              <w:widowControl/>
              <w:rPr>
                <w:rFonts w:ascii="宋体" w:hAnsi="宋体" w:cs="宋体"/>
                <w:color w:val="000000"/>
                <w:sz w:val="24"/>
                <w:highlight w:val="none"/>
              </w:rPr>
            </w:pPr>
            <w:r>
              <w:rPr>
                <w:rFonts w:hint="eastAsia" w:ascii="宋体" w:hAnsi="宋体" w:cs="宋体"/>
                <w:color w:val="000000"/>
                <w:sz w:val="24"/>
                <w:highlight w:val="none"/>
                <w:lang w:val="fr-FR"/>
              </w:rPr>
              <w:t xml:space="preserve">设计日流量</w:t>
            </w:r>
            <w:r>
              <w:rPr>
                <w:rFonts w:ascii="宋体" w:hAnsi="宋体" w:cs="宋体"/>
                <w:color w:val="000000"/>
                <w:sz w:val="24"/>
                <w:highlight w:val="none"/>
              </w:rPr>
            </w:r>
            <w:r/>
          </w:p>
        </w:tc>
        <w:tc>
          <w:tcPr>
            <w:tcW w:w="1000" w:type="dxa"/>
            <w:vAlign w:val="center"/>
            <w:textDirection w:val="lrTb"/>
            <w:noWrap w:val="false"/>
          </w:tcPr>
          <w:p>
            <w:pPr>
              <w:pStyle w:val="1005"/>
              <w:jc w:val="center"/>
              <w:spacing w:before="60" w:after="60"/>
              <w:widowControl/>
              <w:rPr>
                <w:rFonts w:ascii="宋体" w:hAnsi="宋体" w:cs="宋体"/>
                <w:color w:val="000000"/>
                <w:sz w:val="24"/>
                <w:highlight w:val="none"/>
              </w:rPr>
            </w:pPr>
            <w:r>
              <w:rPr>
                <w:rFonts w:hint="eastAsia" w:ascii="宋体" w:hAnsi="宋体" w:cs="Arial"/>
                <w:color w:val="000000"/>
                <w:sz w:val="24"/>
                <w:highlight w:val="none"/>
                <w:lang w:val="fr-FR"/>
              </w:rPr>
              <w:t xml:space="preserve">m</w:t>
            </w:r>
            <w:r>
              <w:rPr>
                <w:rFonts w:hint="eastAsia" w:ascii="宋体" w:hAnsi="宋体" w:cs="Arial"/>
                <w:color w:val="000000"/>
                <w:sz w:val="24"/>
                <w:highlight w:val="none"/>
                <w:vertAlign w:val="superscript"/>
                <w:lang w:val="fr-FR"/>
              </w:rPr>
              <w:t xml:space="preserve">3</w:t>
            </w:r>
            <w:r>
              <w:rPr>
                <w:rFonts w:hint="eastAsia" w:ascii="宋体" w:hAnsi="宋体" w:cs="Arial"/>
                <w:color w:val="000000"/>
                <w:sz w:val="24"/>
                <w:highlight w:val="none"/>
                <w:lang w:val="fr-FR"/>
              </w:rPr>
              <w:t xml:space="preserve">/d</w:t>
            </w:r>
            <w:r>
              <w:rPr>
                <w:rFonts w:ascii="宋体" w:hAnsi="宋体" w:cs="宋体"/>
                <w:color w:val="000000"/>
                <w:sz w:val="24"/>
                <w:highlight w:val="none"/>
              </w:rPr>
            </w:r>
            <w:r/>
          </w:p>
        </w:tc>
        <w:tc>
          <w:tcPr>
            <w:tcW w:w="998"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50000</w:t>
            </w:r>
            <w:r>
              <w:rPr>
                <w:rFonts w:ascii="宋体" w:hAnsi="宋体" w:cs="宋体"/>
                <w:color w:val="000000"/>
                <w:sz w:val="24"/>
                <w:highlight w:val="none"/>
              </w:rPr>
            </w:r>
            <w:r/>
          </w:p>
        </w:tc>
        <w:tc>
          <w:tcPr>
            <w:tcW w:w="998"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30000</w:t>
            </w:r>
            <w:r>
              <w:rPr>
                <w:rFonts w:ascii="宋体" w:hAnsi="宋体" w:cs="宋体"/>
                <w:color w:val="000000"/>
                <w:sz w:val="24"/>
                <w:highlight w:val="none"/>
              </w:rPr>
            </w:r>
            <w:r/>
          </w:p>
        </w:tc>
        <w:tc>
          <w:tcPr>
            <w:tcW w:w="100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15000</w:t>
            </w:r>
            <w:r>
              <w:rPr>
                <w:rFonts w:ascii="宋体" w:hAnsi="宋体" w:cs="宋体"/>
                <w:color w:val="000000"/>
                <w:sz w:val="24"/>
                <w:highlight w:val="none"/>
              </w:rPr>
            </w:r>
            <w:r/>
          </w:p>
        </w:tc>
      </w:tr>
      <w:tr>
        <w:trPr>
          <w:trHeight w:val="397"/>
        </w:trPr>
        <w:tc>
          <w:tcPr>
            <w:tcW w:w="998" w:type="dxa"/>
            <w:vAlign w:val="center"/>
            <w:textDirection w:val="lrTb"/>
            <w:noWrap w:val="false"/>
          </w:tcPr>
          <w:p>
            <w:pPr>
              <w:pStyle w:val="1005"/>
              <w:jc w:val="center"/>
              <w:spacing w:before="60" w:after="60"/>
              <w:widowControl/>
              <w:rPr>
                <w:rFonts w:ascii="宋体" w:hAnsi="宋体" w:cs="宋体"/>
                <w:color w:val="000000"/>
                <w:sz w:val="24"/>
                <w:highlight w:val="none"/>
              </w:rPr>
            </w:pPr>
            <w:r>
              <w:rPr>
                <w:rFonts w:hint="eastAsia" w:ascii="宋体" w:hAnsi="宋体" w:cs="宋体"/>
                <w:color w:val="000000"/>
                <w:sz w:val="24"/>
                <w:highlight w:val="none"/>
                <w:lang w:val="fr-FR"/>
              </w:rPr>
              <w:t xml:space="preserve">设计小时流量</w:t>
            </w:r>
            <w:r>
              <w:rPr>
                <w:rFonts w:ascii="宋体" w:hAnsi="宋体" w:cs="宋体"/>
                <w:color w:val="000000"/>
                <w:sz w:val="24"/>
                <w:highlight w:val="none"/>
              </w:rPr>
            </w:r>
            <w:r/>
          </w:p>
        </w:tc>
        <w:tc>
          <w:tcPr>
            <w:tcW w:w="1000" w:type="dxa"/>
            <w:vAlign w:val="center"/>
            <w:textDirection w:val="lrTb"/>
            <w:noWrap w:val="false"/>
          </w:tcPr>
          <w:p>
            <w:pPr>
              <w:pStyle w:val="1005"/>
              <w:jc w:val="center"/>
              <w:spacing w:before="60" w:after="60"/>
              <w:widowControl/>
              <w:rPr>
                <w:rFonts w:ascii="宋体" w:hAnsi="宋体" w:cs="宋体"/>
                <w:color w:val="000000"/>
                <w:sz w:val="24"/>
                <w:highlight w:val="none"/>
              </w:rPr>
            </w:pPr>
            <w:r>
              <w:rPr>
                <w:rFonts w:hint="eastAsia" w:ascii="宋体" w:hAnsi="宋体" w:cs="Arial"/>
                <w:color w:val="000000"/>
                <w:sz w:val="24"/>
                <w:highlight w:val="none"/>
                <w:lang w:val="fr-FR"/>
              </w:rPr>
              <w:t xml:space="preserve">m</w:t>
            </w:r>
            <w:r>
              <w:rPr>
                <w:rFonts w:hint="eastAsia" w:ascii="宋体" w:hAnsi="宋体" w:cs="Arial"/>
                <w:color w:val="000000"/>
                <w:sz w:val="24"/>
                <w:highlight w:val="none"/>
                <w:vertAlign w:val="superscript"/>
                <w:lang w:val="fr-FR"/>
              </w:rPr>
              <w:t xml:space="preserve">3</w:t>
            </w:r>
            <w:r>
              <w:rPr>
                <w:rFonts w:hint="eastAsia" w:ascii="宋体" w:hAnsi="宋体" w:cs="Arial"/>
                <w:color w:val="000000"/>
                <w:sz w:val="24"/>
                <w:highlight w:val="none"/>
                <w:lang w:val="fr-FR"/>
              </w:rPr>
              <w:t xml:space="preserve">/h</w:t>
            </w:r>
            <w:r>
              <w:rPr>
                <w:rFonts w:ascii="宋体" w:hAnsi="宋体" w:cs="宋体"/>
                <w:color w:val="000000"/>
                <w:sz w:val="24"/>
                <w:highlight w:val="none"/>
              </w:rPr>
            </w:r>
            <w:r/>
          </w:p>
        </w:tc>
        <w:tc>
          <w:tcPr>
            <w:tcW w:w="998"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2084</w:t>
            </w:r>
            <w:r>
              <w:rPr>
                <w:rFonts w:ascii="宋体" w:hAnsi="宋体" w:cs="宋体"/>
                <w:color w:val="000000"/>
                <w:sz w:val="24"/>
                <w:highlight w:val="none"/>
              </w:rPr>
            </w:r>
            <w:r/>
          </w:p>
        </w:tc>
        <w:tc>
          <w:tcPr>
            <w:tcW w:w="998"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1250</w:t>
            </w:r>
            <w:r>
              <w:rPr>
                <w:rFonts w:ascii="宋体" w:hAnsi="宋体" w:cs="宋体"/>
                <w:color w:val="000000"/>
                <w:sz w:val="24"/>
                <w:highlight w:val="none"/>
              </w:rPr>
            </w:r>
            <w:r/>
          </w:p>
        </w:tc>
        <w:tc>
          <w:tcPr>
            <w:tcW w:w="100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625</w:t>
            </w:r>
            <w:r>
              <w:rPr>
                <w:rFonts w:ascii="宋体" w:hAnsi="宋体" w:cs="宋体"/>
                <w:color w:val="000000"/>
                <w:sz w:val="24"/>
                <w:highlight w:val="none"/>
              </w:rPr>
            </w:r>
            <w:r/>
          </w:p>
        </w:tc>
      </w:tr>
      <w:tr>
        <w:trPr>
          <w:trHeight w:val="397"/>
        </w:trPr>
        <w:tc>
          <w:tcPr>
            <w:tcW w:w="998" w:type="dxa"/>
            <w:vAlign w:val="center"/>
            <w:textDirection w:val="lrTb"/>
            <w:noWrap w:val="false"/>
          </w:tcPr>
          <w:p>
            <w:pPr>
              <w:pStyle w:val="1005"/>
              <w:jc w:val="center"/>
              <w:spacing w:before="60" w:after="60"/>
              <w:widowControl/>
              <w:rPr>
                <w:rFonts w:ascii="宋体" w:hAnsi="宋体" w:cs="宋体"/>
                <w:color w:val="000000"/>
                <w:sz w:val="24"/>
                <w:highlight w:val="none"/>
              </w:rPr>
            </w:pPr>
            <w:r>
              <w:rPr>
                <w:rFonts w:hint="eastAsia" w:ascii="宋体" w:hAnsi="宋体" w:cs="宋体"/>
                <w:color w:val="000000"/>
                <w:sz w:val="24"/>
                <w:highlight w:val="none"/>
                <w:lang w:val="fr-FR"/>
              </w:rPr>
              <w:t xml:space="preserve">峰值系数</w:t>
            </w:r>
            <w:r>
              <w:rPr>
                <w:rFonts w:ascii="宋体" w:hAnsi="宋体" w:cs="宋体"/>
                <w:color w:val="000000"/>
                <w:sz w:val="24"/>
                <w:highlight w:val="none"/>
              </w:rPr>
            </w:r>
            <w:r/>
          </w:p>
        </w:tc>
        <w:tc>
          <w:tcPr>
            <w:tcW w:w="1000" w:type="dxa"/>
            <w:vAlign w:val="center"/>
            <w:textDirection w:val="lrTb"/>
            <w:noWrap w:val="false"/>
          </w:tcPr>
          <w:p>
            <w:pPr>
              <w:pStyle w:val="1005"/>
              <w:jc w:val="center"/>
              <w:spacing w:before="60" w:after="60"/>
              <w:widowControl/>
              <w:rPr>
                <w:rFonts w:ascii="宋体" w:hAnsi="宋体" w:cs="宋体"/>
                <w:color w:val="000000"/>
                <w:sz w:val="24"/>
                <w:highlight w:val="none"/>
              </w:rPr>
            </w:pPr>
            <w:r>
              <w:rPr>
                <w:rFonts w:hint="eastAsia" w:ascii="宋体" w:hAnsi="宋体" w:cs="Arial"/>
                <w:color w:val="000000"/>
                <w:sz w:val="24"/>
                <w:highlight w:val="none"/>
                <w:lang w:val="fr-FR"/>
              </w:rPr>
              <w:t xml:space="preserve">/</w:t>
            </w:r>
            <w:r>
              <w:rPr>
                <w:rFonts w:ascii="宋体" w:hAnsi="宋体" w:cs="宋体"/>
                <w:color w:val="000000"/>
                <w:sz w:val="24"/>
                <w:highlight w:val="none"/>
              </w:rPr>
            </w:r>
            <w:r/>
          </w:p>
        </w:tc>
        <w:tc>
          <w:tcPr>
            <w:tcW w:w="998"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c>
          <w:tcPr>
            <w:tcW w:w="998"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c>
          <w:tcPr>
            <w:tcW w:w="100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r>
      <w:tr>
        <w:trPr>
          <w:trHeight w:val="397"/>
        </w:trPr>
        <w:tc>
          <w:tcPr>
            <w:tcW w:w="998" w:type="dxa"/>
            <w:vAlign w:val="center"/>
            <w:textDirection w:val="lrTb"/>
            <w:noWrap w:val="false"/>
          </w:tcPr>
          <w:p>
            <w:pPr>
              <w:pStyle w:val="1005"/>
              <w:jc w:val="center"/>
              <w:spacing w:before="60" w:after="60"/>
              <w:widowControl/>
              <w:rPr>
                <w:rFonts w:ascii="宋体" w:hAnsi="宋体" w:cs="宋体"/>
                <w:color w:val="000000"/>
                <w:sz w:val="24"/>
                <w:highlight w:val="none"/>
              </w:rPr>
            </w:pPr>
            <w:r>
              <w:rPr>
                <w:rFonts w:hint="eastAsia" w:ascii="宋体" w:hAnsi="宋体" w:cs="宋体"/>
                <w:color w:val="000000"/>
                <w:sz w:val="24"/>
                <w:highlight w:val="none"/>
                <w:lang w:val="fr-FR"/>
              </w:rPr>
              <w:t xml:space="preserve">小时峰值流量</w:t>
            </w:r>
            <w:r>
              <w:rPr>
                <w:rFonts w:ascii="宋体" w:hAnsi="宋体" w:cs="宋体"/>
                <w:color w:val="000000"/>
                <w:sz w:val="24"/>
                <w:highlight w:val="none"/>
              </w:rPr>
            </w:r>
            <w:r/>
          </w:p>
        </w:tc>
        <w:tc>
          <w:tcPr>
            <w:tcW w:w="1000" w:type="dxa"/>
            <w:vAlign w:val="center"/>
            <w:textDirection w:val="lrTb"/>
            <w:noWrap w:val="false"/>
          </w:tcPr>
          <w:p>
            <w:pPr>
              <w:pStyle w:val="1005"/>
              <w:jc w:val="center"/>
              <w:spacing w:before="60" w:after="60"/>
              <w:widowControl/>
              <w:rPr>
                <w:rFonts w:ascii="宋体" w:hAnsi="宋体" w:cs="宋体"/>
                <w:color w:val="000000"/>
                <w:sz w:val="24"/>
                <w:highlight w:val="none"/>
              </w:rPr>
            </w:pPr>
            <w:r>
              <w:rPr>
                <w:rFonts w:hint="eastAsia" w:ascii="宋体" w:hAnsi="宋体" w:cs="Arial"/>
                <w:color w:val="000000"/>
                <w:sz w:val="24"/>
                <w:highlight w:val="none"/>
                <w:lang w:val="fr-FR"/>
              </w:rPr>
              <w:t xml:space="preserve">m</w:t>
            </w:r>
            <w:r>
              <w:rPr>
                <w:rFonts w:hint="eastAsia" w:ascii="宋体" w:hAnsi="宋体" w:cs="Arial"/>
                <w:color w:val="000000"/>
                <w:sz w:val="24"/>
                <w:highlight w:val="none"/>
                <w:vertAlign w:val="superscript"/>
                <w:lang w:val="fr-FR"/>
              </w:rPr>
              <w:t xml:space="preserve">3</w:t>
            </w:r>
            <w:r>
              <w:rPr>
                <w:rFonts w:hint="eastAsia" w:ascii="宋体" w:hAnsi="宋体" w:cs="Arial"/>
                <w:color w:val="000000"/>
                <w:sz w:val="24"/>
                <w:highlight w:val="none"/>
                <w:lang w:val="fr-FR"/>
              </w:rPr>
              <w:t xml:space="preserve">/h</w:t>
            </w:r>
            <w:r>
              <w:rPr>
                <w:rFonts w:ascii="宋体" w:hAnsi="宋体" w:cs="宋体"/>
                <w:color w:val="000000"/>
                <w:sz w:val="24"/>
                <w:highlight w:val="none"/>
              </w:rPr>
            </w:r>
            <w:r/>
          </w:p>
        </w:tc>
        <w:tc>
          <w:tcPr>
            <w:tcW w:w="998"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2292</w:t>
            </w:r>
            <w:r>
              <w:rPr>
                <w:rFonts w:ascii="宋体" w:hAnsi="宋体" w:cs="宋体"/>
                <w:color w:val="000000"/>
                <w:sz w:val="24"/>
                <w:highlight w:val="none"/>
              </w:rPr>
            </w:r>
            <w:r/>
          </w:p>
        </w:tc>
        <w:tc>
          <w:tcPr>
            <w:tcW w:w="998"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1375</w:t>
            </w:r>
            <w:r>
              <w:rPr>
                <w:rFonts w:ascii="宋体" w:hAnsi="宋体" w:cs="宋体"/>
                <w:color w:val="000000"/>
                <w:sz w:val="24"/>
                <w:highlight w:val="none"/>
              </w:rPr>
            </w:r>
            <w:r/>
          </w:p>
        </w:tc>
        <w:tc>
          <w:tcPr>
            <w:tcW w:w="100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687.5</w:t>
            </w:r>
            <w:r>
              <w:rPr>
                <w:rFonts w:ascii="宋体" w:hAnsi="宋体" w:cs="宋体"/>
                <w:color w:val="000000"/>
                <w:sz w:val="24"/>
                <w:highlight w:val="none"/>
              </w:rPr>
            </w:r>
            <w:r/>
          </w:p>
        </w:tc>
      </w:tr>
    </w:tbl>
    <w:p>
      <w:pPr>
        <w:pStyle w:val="1005"/>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注：</w:t>
      </w:r>
      <w:r>
        <w:rPr>
          <w:rFonts w:hint="eastAsia" w:ascii="宋体" w:hAnsi="宋体"/>
          <w:b/>
          <w:bCs/>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①广化桥、椿桂园、青山绿地、五星、双桥设计处理水量分别为50000m3/d、30000m3/d、30000m3/d、15000m3/d、15000m3/d，24小时连续运行，并具备长时间抗冲击负荷大于10%的处理能力；</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②化学加药设备及磁种投加设备的最大能力按照最大流量情况校核。</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（2）超磁分离水质净化系统处理后水质指标</w:t>
      </w:r>
      <w:r>
        <w:rPr>
          <w:rFonts w:hint="eastAsia" w:ascii="宋体" w:hAnsi="宋体"/>
          <w:color w:val="000000"/>
          <w:sz w:val="24"/>
          <w:highlight w:val="none"/>
        </w:rPr>
      </w:r>
      <w:r/>
    </w:p>
    <w:p>
      <w:pPr>
        <w:pStyle w:val="1005"/>
        <w:ind w:firstLine="48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出水水质指标</w:t>
      </w:r>
      <w:r>
        <w:rPr>
          <w:rFonts w:hint="eastAsia"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50"/>
        <w:gridCol w:w="2126"/>
        <w:gridCol w:w="2410"/>
      </w:tblGrid>
      <w:tr>
        <w:trPr>
          <w:trHeight w:val="397"/>
        </w:trPr>
        <w:tc>
          <w:tcPr>
            <w:tcW w:w="10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b/>
                <w:color w:val="000000"/>
                <w:sz w:val="24"/>
                <w:highlight w:val="none"/>
              </w:rPr>
              <w:t xml:space="preserve">编号</w:t>
            </w:r>
            <w:r>
              <w:rPr>
                <w:rFonts w:ascii="宋体" w:hAnsi="宋体" w:cs="宋体"/>
                <w:color w:val="000000"/>
                <w:sz w:val="24"/>
                <w:highlight w:val="none"/>
              </w:rPr>
            </w:r>
            <w:r/>
          </w:p>
        </w:tc>
        <w:tc>
          <w:tcPr>
            <w:tcW w:w="212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b/>
                <w:color w:val="000000"/>
                <w:sz w:val="24"/>
                <w:highlight w:val="none"/>
              </w:rPr>
              <w:t xml:space="preserve">水质指标</w:t>
            </w:r>
            <w:r>
              <w:rPr>
                <w:rFonts w:ascii="宋体" w:hAnsi="宋体" w:cs="宋体"/>
                <w:color w:val="000000"/>
                <w:sz w:val="24"/>
                <w:highlight w:val="none"/>
              </w:rPr>
            </w:r>
            <w:r/>
          </w:p>
        </w:tc>
        <w:tc>
          <w:tcPr>
            <w:tcW w:w="241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b/>
                <w:color w:val="000000"/>
                <w:sz w:val="24"/>
                <w:highlight w:val="none"/>
              </w:rPr>
              <w:t xml:space="preserve">要求</w:t>
            </w:r>
            <w:r>
              <w:rPr>
                <w:rFonts w:ascii="宋体" w:hAnsi="宋体" w:cs="宋体"/>
                <w:color w:val="000000"/>
                <w:sz w:val="24"/>
                <w:highlight w:val="none"/>
              </w:rPr>
            </w:r>
            <w:r/>
          </w:p>
        </w:tc>
      </w:tr>
      <w:tr>
        <w:trPr>
          <w:trHeight w:val="397"/>
        </w:trPr>
        <w:tc>
          <w:tcPr>
            <w:tcW w:w="10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12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SS</w:t>
            </w:r>
            <w:r>
              <w:rPr>
                <w:rFonts w:ascii="宋体" w:hAnsi="宋体" w:cs="宋体"/>
                <w:color w:val="000000"/>
                <w:sz w:val="24"/>
                <w:highlight w:val="none"/>
              </w:rPr>
            </w:r>
            <w:r/>
          </w:p>
        </w:tc>
        <w:tc>
          <w:tcPr>
            <w:tcW w:w="241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≤10mg/l</w:t>
            </w:r>
            <w:r>
              <w:rPr>
                <w:rFonts w:ascii="宋体" w:hAnsi="宋体" w:cs="宋体"/>
                <w:color w:val="000000"/>
                <w:sz w:val="24"/>
                <w:highlight w:val="none"/>
              </w:rPr>
            </w:r>
            <w:r/>
          </w:p>
        </w:tc>
      </w:tr>
      <w:tr>
        <w:trPr>
          <w:trHeight w:val="397"/>
        </w:trPr>
        <w:tc>
          <w:tcPr>
            <w:tcW w:w="10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212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浊度</w:t>
            </w:r>
            <w:r>
              <w:rPr>
                <w:rFonts w:ascii="宋体" w:hAnsi="宋体" w:cs="宋体"/>
                <w:color w:val="000000"/>
                <w:sz w:val="24"/>
                <w:highlight w:val="none"/>
              </w:rPr>
            </w:r>
            <w:r/>
          </w:p>
        </w:tc>
        <w:tc>
          <w:tcPr>
            <w:tcW w:w="241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≤10NTU</w:t>
            </w:r>
            <w:r>
              <w:rPr>
                <w:rFonts w:ascii="宋体" w:hAnsi="宋体" w:cs="宋体"/>
                <w:color w:val="000000"/>
                <w:sz w:val="24"/>
                <w:highlight w:val="none"/>
              </w:rPr>
            </w:r>
            <w:r/>
          </w:p>
        </w:tc>
      </w:tr>
      <w:tr>
        <w:trPr>
          <w:trHeight w:val="397"/>
        </w:trPr>
        <w:tc>
          <w:tcPr>
            <w:tcW w:w="10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212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TP</w:t>
            </w:r>
            <w:r>
              <w:rPr>
                <w:rFonts w:ascii="宋体" w:hAnsi="宋体" w:cs="宋体"/>
                <w:color w:val="000000"/>
                <w:sz w:val="24"/>
                <w:highlight w:val="none"/>
              </w:rPr>
            </w:r>
            <w:r/>
          </w:p>
        </w:tc>
        <w:tc>
          <w:tcPr>
            <w:tcW w:w="241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≤0.2mg/l</w:t>
            </w:r>
            <w:r>
              <w:rPr>
                <w:rFonts w:ascii="宋体" w:hAnsi="宋体" w:cs="宋体"/>
                <w:color w:val="000000"/>
                <w:sz w:val="24"/>
                <w:highlight w:val="none"/>
              </w:rPr>
            </w:r>
            <w:r/>
          </w:p>
        </w:tc>
      </w:tr>
      <w:tr>
        <w:trPr>
          <w:trHeight w:val="397"/>
        </w:trPr>
        <w:tc>
          <w:tcPr>
            <w:tcW w:w="10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212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透明度</w:t>
            </w:r>
            <w:r>
              <w:rPr>
                <w:rFonts w:ascii="宋体" w:hAnsi="宋体" w:cs="宋体"/>
                <w:color w:val="000000"/>
                <w:sz w:val="24"/>
                <w:highlight w:val="none"/>
              </w:rPr>
            </w:r>
            <w:r/>
          </w:p>
        </w:tc>
        <w:tc>
          <w:tcPr>
            <w:tcW w:w="241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河道出水口 ≥100cm或见底</w:t>
            </w:r>
            <w:r>
              <w:rPr>
                <w:rFonts w:ascii="宋体" w:hAnsi="宋体" w:cs="宋体"/>
                <w:color w:val="000000"/>
                <w:sz w:val="24"/>
                <w:highlight w:val="none"/>
              </w:rPr>
            </w:r>
            <w:r/>
          </w:p>
        </w:tc>
      </w:tr>
    </w:tbl>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（3）出水取样观察及调整</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出水水质取样在超磁分离水质净化系统末端总出水口；净水设备出水2h取一次样，进行查看水质情况和浊度仪读数，并及时进行药剂调整。</w:t>
      </w:r>
      <w:r>
        <w:rPr>
          <w:rFonts w:hint="eastAsia" w:ascii="宋体" w:hAnsi="宋体"/>
          <w:color w:val="000000"/>
          <w:sz w:val="24"/>
          <w:highlight w:val="none"/>
        </w:rPr>
      </w:r>
      <w:r/>
    </w:p>
    <w:p>
      <w:pPr>
        <w:pStyle w:val="1005"/>
        <w:ind w:firstLine="482"/>
        <w:spacing w:line="360" w:lineRule="auto"/>
        <w:rPr>
          <w:rFonts w:hint="eastAsia" w:ascii="宋体" w:hAnsi="宋体"/>
          <w:b/>
          <w:bCs/>
          <w:color w:val="000000"/>
          <w:sz w:val="24"/>
          <w:highlight w:val="none"/>
        </w:rPr>
        <w:outlineLvl w:val="2"/>
      </w:pPr>
      <w:r>
        <w:rPr>
          <w:rFonts w:hint="eastAsia" w:ascii="宋体" w:hAnsi="宋体"/>
          <w:b/>
          <w:bCs/>
          <w:color w:val="000000"/>
          <w:sz w:val="24"/>
          <w:highlight w:val="none"/>
        </w:rPr>
        <w:t xml:space="preserve">（二）混凝沉淀净化系统</w:t>
      </w:r>
      <w:r>
        <w:rPr>
          <w:rFonts w:hint="eastAsia" w:ascii="宋体" w:hAnsi="宋体"/>
          <w:b/>
          <w:bCs/>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1.混凝沉淀净化系统组成</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混凝沉淀净化装置内部主要由高效无动力净化器、PAC/PAM加药装置组成。原水通过泵站取水泵送至高效无动力污水净化器，在该净化器内投加混凝剂与絮凝剂完成污水的净化，设备出水达标排放。净化污水的过程中还会产生污泥，一部分回流到反应室，另一部分经过污泥管道排入污水管网。</w:t>
      </w:r>
      <w:r>
        <w:rPr>
          <w:rFonts w:hint="eastAsia" w:ascii="宋体" w:hAnsi="宋体"/>
          <w:color w:val="000000"/>
          <w:sz w:val="24"/>
          <w:highlight w:val="none"/>
        </w:rPr>
      </w:r>
      <w:r/>
    </w:p>
    <w:p>
      <w:pPr>
        <w:pStyle w:val="1005"/>
        <w:ind w:firstLine="480"/>
        <w:jc w:val="center"/>
        <w:widowControl/>
        <w:tabs>
          <w:tab w:val="left" w:pos="1117" w:leader="none"/>
        </w:tabs>
        <w:rPr>
          <w:rFonts w:ascii="宋体" w:hAnsi="宋体"/>
          <w:color w:val="000000"/>
          <w:sz w:val="24"/>
          <w:highlight w:val="none"/>
        </w:rPr>
      </w:pPr>
      <w:r>
        <w:rPr>
          <w:rFonts w:ascii="宋体" w:hAnsi="宋体" w:cs="宋体"/>
          <w:color w:val="000000"/>
          <w:sz w:val="24"/>
          <w:highlight w:val="none"/>
        </w:rPr>
        <mc:AlternateContent>
          <mc:Choice Requires="wpg">
            <w:drawing>
              <wp:inline xmlns:wp="http://schemas.openxmlformats.org/drawingml/2006/wordprocessingDrawing" distT="0" distB="0" distL="0" distR="0">
                <wp:extent cx="4086111" cy="153344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4086111" cy="15334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1.7pt;height:120.7pt;mso-wrap-distance-left:0.0pt;mso-wrap-distance-top:0.0pt;mso-wrap-distance-right:0.0pt;mso-wrap-distance-bottom:0.0pt;" stroked="f">
                <v:path textboxrect="0,0,0,0"/>
                <v:imagedata r:id="rId23" o:title=""/>
              </v:shape>
            </w:pict>
          </mc:Fallback>
        </mc:AlternateContent>
      </w:r>
      <w:r>
        <w:rPr>
          <w:rFonts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2.混凝沉淀净化装置工作原理</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混凝沉淀净化装置是一种高效一体化污水处理设备，可实现污水中SS、TP等污染物的快速去除，大大削减进入水体的污染物总量，可使黑臭水体快速还清。它由快速混合区、混凝反应区、高密絮凝区、超高速沉淀区及污泥浓缩区组成。其能源消耗少，整个主体设备仅排泥电动阀为用电设施，利用进水泵动力带动整个设备，完成污水净化过程。</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高效无动力污水净化器在污水净化领域具有以上优点，得益于其中的自循环高密度悬浮污泥滤沉技术。高效无动力污水净化器（卧式）的内部结构示意图如图所示。</w:t>
      </w:r>
      <w:r>
        <w:rPr>
          <w:rFonts w:hint="eastAsia" w:ascii="宋体" w:hAnsi="宋体"/>
          <w:color w:val="000000"/>
          <w:sz w:val="24"/>
          <w:highlight w:val="none"/>
        </w:rPr>
      </w:r>
      <w:r/>
    </w:p>
    <w:p>
      <w:pPr>
        <w:pStyle w:val="1005"/>
        <w:ind w:firstLine="482"/>
        <w:jc w:val="center"/>
        <w:widowControl/>
        <w:tabs>
          <w:tab w:val="left" w:pos="1117" w:leader="none"/>
        </w:tabs>
        <w:rPr>
          <w:rFonts w:ascii="宋体" w:hAnsi="宋体"/>
          <w:color w:val="000000"/>
          <w:sz w:val="24"/>
          <w:highlight w:val="none"/>
        </w:rPr>
      </w:pPr>
      <w:r>
        <w:rPr>
          <w:rFonts w:ascii="宋体" w:hAnsi="宋体" w:cs="宋体"/>
          <w:b/>
          <w:color w:val="000000"/>
          <w:sz w:val="24"/>
          <w:highlight w:val="none"/>
        </w:rPr>
        <mc:AlternateContent>
          <mc:Choice Requires="wpg">
            <w:drawing>
              <wp:inline xmlns:wp="http://schemas.openxmlformats.org/drawingml/2006/wordprocessingDrawing" distT="0" distB="0" distL="0" distR="0">
                <wp:extent cx="4562462" cy="266724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562462" cy="26672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9.2pt;height:210.0pt;mso-wrap-distance-left:0.0pt;mso-wrap-distance-top:0.0pt;mso-wrap-distance-right:0.0pt;mso-wrap-distance-bottom:0.0pt;" stroked="f">
                <v:path textboxrect="0,0,0,0"/>
                <v:imagedata r:id="rId24" o:title=""/>
              </v:shape>
            </w:pict>
          </mc:Fallback>
        </mc:AlternateContent>
      </w:r>
      <w:r>
        <w:rPr>
          <w:rFonts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污水在高效无动力污水净化器内净化过程是：污水通过进水泵送入快速混合区，在该区域，污水与混凝剂（PAC）进行剧烈反应并流进喷口，在喷口区完成与絮凝剂（PAM）的混合</w:t>
      </w:r>
      <w:r>
        <w:rPr>
          <w:rFonts w:hint="eastAsia" w:ascii="宋体" w:hAnsi="宋体"/>
          <w:color w:val="000000"/>
          <w:sz w:val="24"/>
          <w:highlight w:val="none"/>
        </w:rPr>
        <w:t xml:space="preserve">，随后，污水通过喷口高速喷入中心反应筒（内筒），喷口直径远小于中心反应筒（内筒）直径，污水进入中心反应筒（内筒）后，上升流速迅速降低，污水与混凝剂发生混凝反应后，在中心反应筒内进行絮凝并形成矾花；喷口区还设置了污泥回流管，当污水经喷口高速喷出时，局部产生微负压，可带动污泥无动力回流进入中心反应筒，更多的污泥进入中心反应筒，可在中心反应筒区域形成高密度絮凝区，促进污水中脱稳胶体形成更密实的大颗粒絮体；喷口向上形成的高速水流带动污水、回流污泥、混凝剂及絮凝剂在中心反应筒内筒与外筒之间循环流动，这种循环流动是一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优质絮体</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（沉淀性能好）的选择过程，只有当形成的絮体</w:t>
      </w:r>
      <w:r>
        <w:rPr>
          <w:rFonts w:hint="eastAsia" w:ascii="宋体" w:hAnsi="宋体"/>
          <w:color w:val="000000"/>
          <w:sz w:val="24"/>
          <w:highlight w:val="none"/>
        </w:rPr>
        <w:t xml:space="preserve">足够密实，足够大，其速度才会逐渐变小，并在中心反应筒（外筒）与锥斗之间的通道推流向上进入超高速沉淀区；受异形中心反应筒（外筒）的影响，絮体向上推流过程中，上升流速逐渐变小，并趋近于零，这些絮体在超高速沉淀区形成一个稳定的悬浮污泥层，并在此处完成泥水分离，悬浮污泥层未能截留的小颗粒絮体，在斜板沉淀区进一步完成泥水分离过程，清水进入出水管道，污水得以净化。当从中心反应筒出来的絮体推流到悬浮污泥层时，彼此吸附、架桥，当其重力大于自身浮力时，絮体开始下沉，进入污泥浓缩区，完成自浓缩，浓缩污泥含水率约98%～99%。</w:t>
      </w:r>
      <w:r>
        <w:rPr>
          <w:rFonts w:hint="eastAsia" w:ascii="宋体" w:hAnsi="宋体"/>
          <w:color w:val="000000"/>
          <w:sz w:val="24"/>
          <w:highlight w:val="none"/>
        </w:rPr>
      </w:r>
      <w:r/>
    </w:p>
    <w:p>
      <w:pPr>
        <w:pStyle w:val="1005"/>
        <w:ind w:firstLine="482"/>
        <w:spacing w:line="360" w:lineRule="auto"/>
        <w:rPr>
          <w:rFonts w:hint="eastAsia" w:ascii="宋体" w:hAnsi="宋体"/>
          <w:b/>
          <w:bCs/>
          <w:color w:val="000000"/>
          <w:sz w:val="24"/>
          <w:highlight w:val="none"/>
        </w:rPr>
        <w:outlineLvl w:val="2"/>
      </w:pPr>
      <w:r>
        <w:rPr>
          <w:rFonts w:hint="eastAsia" w:ascii="宋体" w:hAnsi="宋体"/>
          <w:b/>
          <w:bCs/>
          <w:color w:val="000000"/>
          <w:sz w:val="24"/>
          <w:highlight w:val="none"/>
        </w:rPr>
        <w:t xml:space="preserve">（三）造流曝气机</w:t>
      </w:r>
      <w:r>
        <w:rPr>
          <w:rFonts w:hint="eastAsia" w:ascii="宋体" w:hAnsi="宋体"/>
          <w:b/>
          <w:bCs/>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1.工艺流程示意图</w:t>
      </w:r>
      <w:r>
        <w:rPr>
          <w:rFonts w:hint="eastAsia" w:ascii="宋体" w:hAnsi="宋体"/>
          <w:color w:val="000000"/>
          <w:sz w:val="24"/>
          <w:highlight w:val="none"/>
        </w:rPr>
      </w:r>
      <w:r/>
    </w:p>
    <w:p>
      <w:pPr>
        <w:pStyle w:val="1005"/>
        <w:ind w:firstLine="480"/>
        <w:jc w:val="center"/>
        <w:widowControl/>
        <w:tabs>
          <w:tab w:val="left" w:pos="1117" w:leader="none"/>
        </w:tabs>
        <w:rPr>
          <w:rFonts w:ascii="宋体" w:hAnsi="宋体"/>
          <w:color w:val="000000"/>
          <w:sz w:val="24"/>
          <w:highlight w:val="none"/>
        </w:rPr>
      </w:pPr>
      <w:r>
        <w:rPr>
          <w:rFonts w:ascii="宋体" w:hAnsi="宋体" w:cs="宋体"/>
          <w:color w:val="000000"/>
          <w:sz w:val="24"/>
          <w:highlight w:val="none"/>
        </w:rPr>
        <mc:AlternateContent>
          <mc:Choice Requires="wpg">
            <w:drawing>
              <wp:inline xmlns:wp="http://schemas.openxmlformats.org/drawingml/2006/wordprocessingDrawing" distT="0" distB="0" distL="0" distR="0">
                <wp:extent cx="3114446" cy="2257654"/>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3114446" cy="22576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45.2pt;height:177.8pt;mso-wrap-distance-left:0.0pt;mso-wrap-distance-top:0.0pt;mso-wrap-distance-right:0.0pt;mso-wrap-distance-bottom:0.0pt;" stroked="f">
                <v:path textboxrect="0,0,0,0"/>
                <v:imagedata r:id="rId25" o:title=""/>
              </v:shape>
            </w:pict>
          </mc:Fallback>
        </mc:AlternateContent>
      </w:r>
      <w:r>
        <w:rPr>
          <w:rFonts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2.工艺描述</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造流曝气是利用喷射导流原理发展起来的一种多用途曝气方式。在独特的混合气室内形成强劲的水流与空气，在其内部搅拌均匀后，经导流装置的形成强大的高溶氧喷射流，同时在喷射水流的卷吸作用下推动水体向前运动，产生大流量富氧循环效果。</w:t>
      </w:r>
      <w:r>
        <w:rPr>
          <w:rFonts w:hint="eastAsia" w:ascii="宋体" w:hAnsi="宋体"/>
          <w:color w:val="000000"/>
          <w:sz w:val="24"/>
          <w:highlight w:val="none"/>
        </w:rPr>
      </w:r>
      <w:r/>
    </w:p>
    <w:p>
      <w:pPr>
        <w:pStyle w:val="1005"/>
        <w:ind w:firstLine="482"/>
        <w:spacing w:line="360" w:lineRule="auto"/>
        <w:rPr>
          <w:rFonts w:hint="eastAsia" w:ascii="宋体" w:hAnsi="宋体"/>
          <w:b/>
          <w:bCs/>
          <w:color w:val="000000"/>
          <w:sz w:val="24"/>
          <w:highlight w:val="none"/>
        </w:rPr>
        <w:outlineLvl w:val="2"/>
      </w:pPr>
      <w:r>
        <w:rPr>
          <w:rFonts w:hint="eastAsia" w:ascii="宋体" w:hAnsi="宋体"/>
          <w:b/>
          <w:bCs/>
          <w:color w:val="000000"/>
          <w:sz w:val="24"/>
          <w:highlight w:val="none"/>
        </w:rPr>
        <w:t xml:space="preserve">（四）河道增氧盘</w:t>
      </w:r>
      <w:r>
        <w:rPr>
          <w:rFonts w:hint="eastAsia" w:ascii="宋体" w:hAnsi="宋体"/>
          <w:b/>
          <w:bCs/>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1.工艺流程示意图</w:t>
      </w:r>
      <w:r>
        <w:rPr>
          <w:rFonts w:hint="eastAsia" w:ascii="宋体" w:hAnsi="宋体"/>
          <w:color w:val="000000"/>
          <w:sz w:val="24"/>
          <w:highlight w:val="none"/>
        </w:rPr>
      </w:r>
      <w:r/>
    </w:p>
    <w:p>
      <w:pPr>
        <w:pStyle w:val="1005"/>
        <w:ind w:firstLine="480"/>
        <w:jc w:val="center"/>
        <w:widowControl/>
        <w:tabs>
          <w:tab w:val="left" w:pos="1117" w:leader="none"/>
        </w:tabs>
        <w:rPr>
          <w:rFonts w:ascii="宋体" w:hAnsi="宋体"/>
          <w:color w:val="000000"/>
          <w:sz w:val="24"/>
          <w:highlight w:val="none"/>
        </w:rPr>
      </w:pPr>
      <w:r>
        <w:rPr>
          <w:rFonts w:ascii="宋体" w:hAnsi="宋体" w:cs="宋体"/>
          <w:color w:val="000000"/>
          <w:sz w:val="24"/>
          <w:highlight w:val="none"/>
        </w:rPr>
        <mc:AlternateContent>
          <mc:Choice Requires="wpg">
            <w:drawing>
              <wp:inline xmlns:wp="http://schemas.openxmlformats.org/drawingml/2006/wordprocessingDrawing" distT="0" distB="0" distL="0" distR="0">
                <wp:extent cx="3695611" cy="2076183"/>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3695611" cy="20761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1.0pt;height:163.5pt;mso-wrap-distance-left:0.0pt;mso-wrap-distance-top:0.0pt;mso-wrap-distance-right:0.0pt;mso-wrap-distance-bottom:0.0pt;" stroked="f">
                <v:path textboxrect="0,0,0,0"/>
                <v:imagedata r:id="rId26" o:title=""/>
              </v:shape>
            </w:pict>
          </mc:Fallback>
        </mc:AlternateContent>
      </w:r>
      <w:r>
        <w:rPr>
          <w:rFonts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2.工艺描述</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河道增氧盘它的工作原理就是向河道中充入新鲜的空气，使得水体复氧，改善河道水质状况。</w:t>
      </w:r>
      <w:r>
        <w:rPr>
          <w:rFonts w:hint="eastAsia" w:ascii="宋体" w:hAnsi="宋体"/>
          <w:color w:val="000000"/>
          <w:sz w:val="24"/>
          <w:highlight w:val="none"/>
        </w:rPr>
      </w:r>
      <w:r/>
    </w:p>
    <w:p>
      <w:pPr>
        <w:pStyle w:val="1005"/>
        <w:ind w:firstLine="482"/>
        <w:spacing w:line="360" w:lineRule="auto"/>
        <w:rPr>
          <w:rFonts w:hint="eastAsia" w:ascii="宋体" w:hAnsi="宋体"/>
          <w:b/>
          <w:bCs/>
          <w:color w:val="000000"/>
          <w:sz w:val="24"/>
          <w:highlight w:val="none"/>
        </w:rPr>
        <w:outlineLvl w:val="2"/>
      </w:pPr>
      <w:r>
        <w:rPr>
          <w:rFonts w:hint="eastAsia" w:ascii="宋体" w:hAnsi="宋体"/>
          <w:b/>
          <w:bCs/>
          <w:color w:val="000000"/>
          <w:sz w:val="24"/>
          <w:highlight w:val="none"/>
        </w:rPr>
        <w:t xml:space="preserve">（五）MBBR</w:t>
      </w:r>
      <w:r>
        <w:rPr>
          <w:rFonts w:hint="eastAsia" w:ascii="宋体" w:hAnsi="宋体"/>
          <w:b/>
          <w:bCs/>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1.工艺流程示意图</w:t>
      </w:r>
      <w:r>
        <w:rPr>
          <w:rFonts w:hint="eastAsia" w:ascii="宋体" w:hAnsi="宋体"/>
          <w:color w:val="000000"/>
          <w:sz w:val="24"/>
          <w:highlight w:val="none"/>
        </w:rPr>
      </w:r>
      <w:r/>
    </w:p>
    <w:p>
      <w:pPr>
        <w:pStyle w:val="1037"/>
        <w:ind w:firstLine="480"/>
        <w:jc w:val="center"/>
        <w:tabs>
          <w:tab w:val="left" w:pos="567" w:leader="none"/>
        </w:tabs>
        <w:rPr>
          <w:color w:val="000000"/>
          <w:szCs w:val="21"/>
          <w:highlight w:val="none"/>
        </w:rPr>
      </w:pPr>
      <w:r>
        <w:rPr>
          <w:rFonts w:cs="宋体"/>
          <w:color w:val="000000"/>
          <w:highlight w:val="none"/>
        </w:rPr>
        <mc:AlternateContent>
          <mc:Choice Requires="wpg">
            <w:drawing>
              <wp:inline xmlns:wp="http://schemas.openxmlformats.org/drawingml/2006/wordprocessingDrawing" distT="0" distB="0" distL="0" distR="0">
                <wp:extent cx="3352800" cy="2247633"/>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3352800" cy="22476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64.0pt;height:177.0pt;mso-wrap-distance-left:0.0pt;mso-wrap-distance-top:0.0pt;mso-wrap-distance-right:0.0pt;mso-wrap-distance-bottom:0.0pt;" stroked="f">
                <v:path textboxrect="0,0,0,0"/>
                <v:imagedata r:id="rId27" o:title=""/>
              </v:shape>
            </w:pict>
          </mc:Fallback>
        </mc:AlternateContent>
      </w:r>
      <w:r>
        <w:rPr>
          <w:color w:val="000000"/>
          <w:szCs w:val="21"/>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2.工艺描述</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MBBR工艺原理是通过向反应器中投加一定数量的悬浮载体，提高反应器中的生物量及生物种类，从而提高反应器的处理效率。由于填料密度接近于水，所以在曝气的时候，与水呈完全混合状态，微生物生长的环境为气、液、固三相。载体在水中的碰撞和剪切作用，使空气气泡更加细小，增加了氧气的利用率。另外，每个载体内外均具有不同的生物种类，内部生长一些厌氧菌或兼氧菌，外部为好养菌，这样每个载体都为一个微型反应器，使硝化反应和反硝化反应同时存在，从而提高了处理效果。</w:t>
      </w:r>
      <w:r>
        <w:rPr>
          <w:rFonts w:hint="eastAsia" w:ascii="宋体" w:hAnsi="宋体"/>
          <w:color w:val="000000"/>
          <w:sz w:val="24"/>
          <w:highlight w:val="none"/>
        </w:rPr>
      </w:r>
      <w:r/>
    </w:p>
    <w:p>
      <w:pPr>
        <w:pStyle w:val="1005"/>
        <w:ind w:firstLine="482"/>
        <w:spacing w:line="360" w:lineRule="auto"/>
        <w:rPr>
          <w:rFonts w:hint="eastAsia" w:ascii="宋体" w:hAnsi="宋体"/>
          <w:b/>
          <w:bCs/>
          <w:color w:val="000000"/>
          <w:sz w:val="24"/>
          <w:highlight w:val="none"/>
        </w:rPr>
        <w:outlineLvl w:val="2"/>
      </w:pPr>
      <w:r>
        <w:rPr>
          <w:rFonts w:hint="eastAsia" w:ascii="宋体" w:hAnsi="宋体"/>
          <w:b/>
          <w:bCs/>
          <w:color w:val="000000"/>
          <w:sz w:val="24"/>
          <w:highlight w:val="none"/>
        </w:rPr>
        <w:t xml:space="preserve">（六）MABR</w:t>
      </w:r>
      <w:r>
        <w:rPr>
          <w:rFonts w:hint="eastAsia" w:ascii="宋体" w:hAnsi="宋体"/>
          <w:b/>
          <w:bCs/>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1.工艺流程示意图</w:t>
      </w:r>
      <w:r>
        <w:rPr>
          <w:rFonts w:hint="eastAsia" w:ascii="宋体" w:hAnsi="宋体"/>
          <w:color w:val="000000"/>
          <w:sz w:val="24"/>
          <w:highlight w:val="none"/>
        </w:rPr>
      </w:r>
      <w:r/>
    </w:p>
    <w:p>
      <w:pPr>
        <w:pStyle w:val="1005"/>
        <w:ind w:firstLine="480"/>
        <w:jc w:val="center"/>
        <w:rPr>
          <w:rFonts w:ascii="宋体" w:hAnsi="宋体"/>
          <w:color w:val="000000"/>
          <w:sz w:val="24"/>
          <w:highlight w:val="none"/>
        </w:rPr>
      </w:pPr>
      <w:r>
        <w:rPr>
          <w:rFonts w:ascii="宋体" w:hAnsi="宋体" w:cs="宋体"/>
          <w:color w:val="000000"/>
          <w:sz w:val="24"/>
          <w:highlight w:val="none"/>
        </w:rPr>
        <mc:AlternateContent>
          <mc:Choice Requires="wpg">
            <w:drawing>
              <wp:inline xmlns:wp="http://schemas.openxmlformats.org/drawingml/2006/wordprocessingDrawing" distT="0" distB="0" distL="0" distR="0">
                <wp:extent cx="4105186" cy="186681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4105186" cy="18668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23.2pt;height:147.0pt;mso-wrap-distance-left:0.0pt;mso-wrap-distance-top:0.0pt;mso-wrap-distance-right:0.0pt;mso-wrap-distance-bottom:0.0pt;" stroked="f">
                <v:path textboxrect="0,0,0,0"/>
                <v:imagedata r:id="rId28" o:title=""/>
              </v:shape>
            </w:pict>
          </mc:Fallback>
        </mc:AlternateContent>
      </w:r>
      <w:r>
        <w:rPr>
          <w:rFonts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2.工艺描述</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MABR是气体分离膜技术与生物膜法污水处理技术相结合产生的新型污水处理工艺。MABR装置主要有曝气膜组件和生物膜两部分组成。MABR工艺利用中空纤维曝气膜作为微生物膜附着载体并为微生物无泡曝气，污水在附着生物膜的曝气膜周围流动时，水体中的污染物在浓差驱动和微生物吸附等作用下进入生物膜内，并经过生物代谢和增殖被微生物利用，使水体的污染物同化为微生物菌体固定在生物膜上火分解成无机代谢产物，从而达到对水体的净化过程。</w:t>
      </w:r>
      <w:r>
        <w:rPr>
          <w:rFonts w:hint="eastAsia" w:ascii="宋体" w:hAnsi="宋体"/>
          <w:color w:val="000000"/>
          <w:sz w:val="24"/>
          <w:highlight w:val="none"/>
        </w:rPr>
      </w:r>
      <w:r/>
    </w:p>
    <w:p>
      <w:pPr>
        <w:pStyle w:val="1005"/>
        <w:ind w:firstLine="482"/>
        <w:spacing w:line="360" w:lineRule="auto"/>
        <w:rPr>
          <w:rFonts w:hint="eastAsia" w:ascii="宋体" w:hAnsi="宋体"/>
          <w:b/>
          <w:bCs/>
          <w:color w:val="000000"/>
          <w:sz w:val="24"/>
          <w:highlight w:val="none"/>
        </w:rPr>
        <w:outlineLvl w:val="2"/>
      </w:pPr>
      <w:r>
        <w:rPr>
          <w:rFonts w:hint="eastAsia" w:ascii="宋体" w:hAnsi="宋体"/>
          <w:b/>
          <w:bCs/>
          <w:color w:val="000000"/>
          <w:sz w:val="24"/>
          <w:highlight w:val="none"/>
        </w:rPr>
        <w:t xml:space="preserve">（七）人工复氧</w:t>
      </w:r>
      <w:r>
        <w:rPr>
          <w:rFonts w:hint="eastAsia" w:ascii="宋体" w:hAnsi="宋体"/>
          <w:b/>
          <w:bCs/>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1.工艺流程示意图</w:t>
      </w:r>
      <w:r>
        <w:rPr>
          <w:rFonts w:hint="eastAsia" w:ascii="宋体" w:hAnsi="宋体"/>
          <w:color w:val="000000"/>
          <w:sz w:val="24"/>
          <w:highlight w:val="none"/>
        </w:rPr>
      </w:r>
      <w:r/>
    </w:p>
    <w:p>
      <w:pPr>
        <w:pStyle w:val="1005"/>
        <w:ind w:firstLine="480"/>
        <w:jc w:val="center"/>
        <w:widowControl/>
        <w:tabs>
          <w:tab w:val="left" w:pos="1117" w:leader="none"/>
        </w:tabs>
        <w:rPr>
          <w:rFonts w:ascii="宋体" w:hAnsi="宋体"/>
          <w:color w:val="000000"/>
          <w:sz w:val="24"/>
          <w:highlight w:val="none"/>
        </w:rPr>
      </w:pPr>
      <w:r>
        <w:rPr>
          <w:rFonts w:ascii="宋体" w:hAnsi="宋体" w:cs="宋体"/>
          <w:color w:val="000000"/>
          <w:sz w:val="24"/>
          <w:highlight w:val="none"/>
        </w:rPr>
        <mc:AlternateContent>
          <mc:Choice Requires="wpg">
            <w:drawing>
              <wp:inline xmlns:wp="http://schemas.openxmlformats.org/drawingml/2006/wordprocessingDrawing" distT="0" distB="0" distL="0" distR="0">
                <wp:extent cx="3724377" cy="176227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3724377" cy="17622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93.3pt;height:138.8pt;mso-wrap-distance-left:0.0pt;mso-wrap-distance-top:0.0pt;mso-wrap-distance-right:0.0pt;mso-wrap-distance-bottom:0.0pt;" stroked="f">
                <v:path textboxrect="0,0,0,0"/>
                <v:imagedata r:id="rId29" o:title=""/>
              </v:shape>
            </w:pict>
          </mc:Fallback>
        </mc:AlternateContent>
      </w:r>
      <w:r>
        <w:rPr>
          <w:rFonts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2.工艺描述</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人工复氧工艺，是一种新型的低能耗水体流化技术，该技术在大批1mm直径气泡群的带动下，形成稳定的上升水流速，从而使水体形成循环流动状态。采用的曝气软管为德国进口曝气软管，所产生的气泡直径较小，约为1mm，其上升过程中运行相对平缓，相互碰撞几率降低，大大弱化了集束聚并效应，气泡直径变化较小，这不仅延长了气泡在水中的停留时间，而且始终保持着非常大的接触面积。大大提高了氧气的传质效率和利用率，从而降低了能耗和处理成本。</w:t>
      </w:r>
      <w:r>
        <w:rPr>
          <w:rFonts w:hint="eastAsia" w:ascii="宋体" w:hAnsi="宋体"/>
          <w:color w:val="000000"/>
          <w:sz w:val="24"/>
          <w:highlight w:val="none"/>
        </w:rPr>
      </w:r>
      <w:r/>
    </w:p>
    <w:p>
      <w:pPr>
        <w:pStyle w:val="1005"/>
        <w:ind w:firstLine="482"/>
        <w:jc w:val="left"/>
        <w:spacing w:line="360" w:lineRule="auto"/>
        <w:widowControl/>
        <w:rPr>
          <w:rFonts w:hint="eastAsia" w:ascii="宋体" w:hAnsi="宋体"/>
          <w:b/>
          <w:color w:val="000000"/>
          <w:sz w:val="24"/>
          <w:highlight w:val="none"/>
        </w:rPr>
        <w:outlineLvl w:val="1"/>
      </w:pPr>
      <w:r>
        <w:rPr>
          <w:rFonts w:hint="eastAsia" w:ascii="宋体" w:hAnsi="宋体"/>
          <w:b/>
          <w:color w:val="000000"/>
          <w:sz w:val="24"/>
          <w:highlight w:val="none"/>
        </w:rPr>
        <w:t xml:space="preserve">三、净水站运维服务工作内容及标准要求</w:t>
      </w:r>
      <w:r>
        <w:rPr>
          <w:rFonts w:hint="eastAsia" w:ascii="宋体" w:hAnsi="宋体"/>
          <w:b/>
          <w:color w:val="000000"/>
          <w:sz w:val="24"/>
          <w:highlight w:val="none"/>
        </w:rPr>
      </w:r>
      <w:r/>
    </w:p>
    <w:p>
      <w:pPr>
        <w:pStyle w:val="1005"/>
        <w:ind w:firstLine="482"/>
        <w:spacing w:line="360" w:lineRule="auto"/>
        <w:rPr>
          <w:rFonts w:hint="eastAsia" w:ascii="宋体" w:hAnsi="宋体"/>
          <w:b/>
          <w:bCs/>
          <w:color w:val="000000"/>
          <w:sz w:val="24"/>
          <w:highlight w:val="none"/>
        </w:rPr>
        <w:outlineLvl w:val="2"/>
      </w:pPr>
      <w:r>
        <w:rPr>
          <w:rFonts w:hint="eastAsia" w:ascii="宋体" w:hAnsi="宋体"/>
          <w:b/>
          <w:bCs/>
          <w:color w:val="000000"/>
          <w:sz w:val="24"/>
          <w:highlight w:val="none"/>
        </w:rPr>
        <w:t xml:space="preserve">（一）河道生态补水</w:t>
      </w:r>
      <w:r>
        <w:rPr>
          <w:rFonts w:hint="eastAsia" w:ascii="宋体" w:hAnsi="宋体"/>
          <w:b/>
          <w:bCs/>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1.系统运行管理操作内容及要求（包括但不限于）</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（1）按系统运行工艺要求进行24小时值守、巡视，完成运行所需的各项运行操作内容（详见《每日工作内容表》）；</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（2）运行记录台帐填报工作，PAC、PAM、磁粉三种药剂按照要求投加并摆放整齐；</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（3）设施的管养工作：</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1）泵站所有设施、设备、场地、房屋等保持干净、整洁（包括人工格栅垃圾的清捞处理、房屋屋顶排水沟（管）的检查排堵）；</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2）空调应保证内、外机外表干净，内机滤网及外机定时清灰，严禁因灰尘过多导致空调停机、损坏现象发生；</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3）对各种损坏的照明灯具、开关、插座、门窗、锁、铰链、供水设施的水嘴等及时进行维修更换；</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4）根据灭火器的使用年限及压力状态，每月做好检查记录并书面向泵站管理所提出灭火器的更换清单。</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（4）设备的管养工作</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1）根据要求对各类机械、电气设备的定期检查、保养：包括控制柜、自控柜、流量计、液位计等电气（仪表）设备，净水装置、水泵、格栅、压榨机、闸阀门等机械设备。</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bookmarkStart w:id="817" w:name="OLE_LINK2"/>
      <w:r/>
      <w:bookmarkStart w:id="818" w:name="OLE_LINK1"/>
      <w:r>
        <w:rPr>
          <w:rFonts w:hint="eastAsia" w:ascii="宋体" w:hAnsi="宋体"/>
          <w:color w:val="000000"/>
          <w:sz w:val="24"/>
          <w:highlight w:val="none"/>
        </w:rPr>
        <w:t xml:space="preserve">每年3月份对泵站流量计、液位计准确性进行校准并做好记录，相关费用由中标人承担并提供流量计的校准证书</w:t>
      </w:r>
      <w:bookmarkEnd w:id="817"/>
      <w:r/>
      <w:bookmarkEnd w:id="818"/>
      <w:r>
        <w:rPr>
          <w:rFonts w:hint="eastAsia" w:ascii="宋体" w:hAnsi="宋体"/>
          <w:color w:val="000000"/>
          <w:sz w:val="24"/>
          <w:highlight w:val="none"/>
        </w:rPr>
        <w:t xml:space="preserve">；</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3）日常各类非需外协单位进行维修的机械、电气（仪表）设备的故障排除，并及时上报需外协单位进行维修的情况；</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4）在排除故障中中标人按照下述《维修工作内容清单》负责完成相关维修工作，其相关费用由中标人自行承担。保养过程中的各类润滑油均由中标人自行承担。</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（5）净水站、抽排泵站等工作范围内设施、设备及操作场所的卫生保洁工作，爱护车间内水电设施，节约用电、用水；</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（6）提前做好在雨天、汛期等极端天气时的设备运行应急预案；</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（7）巡河工作</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1）巡河目的：在保证出水水质的情况下，及时掌握9条河道各个断面透明度等水质指标及沿河推流曝气等设备工作状态。</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2）巡河频次：一般每天1次，根据招标人要求适当增减； </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3）巡河要求：</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①测量补水河道各个断面的透明度（包括外河），对河道断面进行拍照，并将相应断面的颜色、气味、流向、流速、浮萍、底泥、漂浮物、藻类等及时记录。 </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②关注市河排口是否有污水排出，如有，须拍照上报。</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③关注沿河的推流及曝气装置、在线水质仪表等是否正常工作，若有故障须及时联系招标方相关管理人员。</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④河道照片一律采用水印相机横向拍摄（水印内容包括日期、地点、温度、天气）</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4）巡河断面如下（中标方按照招标方要求调整）：</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①南市河、东市河巡河断面：西水关闸站、西水关桥、商会桥、中新桥、琢初桥、元丰桥、东太平桥、九华桥、东市河闸站。</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②西市河、锁桥河巡河断面：西市河闸站、白龙桥、文在桥、人防桥、小虹桥、泰安桥、锁桥河闸站。</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③北市河巡河断面：西园村闸站、博爱桥、金桥市场弯口、鹤园桥、椿庭桥、致远桥。</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④十字河巡河断面：十字河出水口、都市桃源观景平台、平桥、亭桥、洪庄桥、橡胶坝西侧。</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⑤双桥浜巡河断面：双桥浜出水口、红莲桥、润德半岛桥、润锦桥、名人桥</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⑥章家浜巡河断面：章青桥、青东桥、方里桥。</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⑦三宝浜巡河断面：和富桥、红梅南路桥、龙游路桥。</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（8）泵站清理垃圾、浮泥（浮油）、水生植物收割处置等（相关费用已包含在投标报价中）</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抽排泵站：必须保证抽排泵站正常运行，由于抽排泵站垃圾较多，中标方需配备多人及时进行清捞。在捞垃圾、清理垃圾的情况下，必须2人及以上在场。净水站的进水口、人工格栅、机械格栅必须每天进行清捞。</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2）浮泥（浮油）、水生植物等清捞：在浮泥（浮油）、水生植物等多发季节，按照招标方要求进行清理。</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3）垃圾、浮泥（浮油）、水生植物等在符合环保、环卫等相关规定下，由中标方自行处理。</w:t>
      </w:r>
      <w:r>
        <w:rPr>
          <w:rFonts w:hint="eastAsia" w:ascii="宋体" w:hAnsi="宋体"/>
          <w:color w:val="000000"/>
          <w:sz w:val="24"/>
          <w:highlight w:val="none"/>
        </w:rPr>
      </w:r>
      <w:r/>
    </w:p>
    <w:p>
      <w:pPr>
        <w:pStyle w:val="1005"/>
        <w:jc w:val="center"/>
        <w:spacing w:line="360" w:lineRule="auto"/>
        <w:widowControl/>
        <w:rPr>
          <w:rFonts w:ascii="宋体" w:hAnsi="宋体" w:cs="宋体"/>
          <w:color w:val="000000"/>
          <w:sz w:val="24"/>
          <w:highlight w:val="none"/>
        </w:rPr>
      </w:pPr>
      <w:r>
        <w:rPr>
          <w:rFonts w:hint="eastAsia" w:ascii="宋体" w:hAnsi="宋体" w:cs="宋体"/>
          <w:b/>
          <w:color w:val="000000"/>
          <w:sz w:val="24"/>
          <w:highlight w:val="none"/>
        </w:rPr>
        <w:t xml:space="preserve">每日工作内容表（净水站及抽排泵站）</w:t>
      </w:r>
      <w:r>
        <w:rPr>
          <w:rFonts w:ascii="宋体" w:hAnsi="宋体" w:cs="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7"/>
      </w:tblGrid>
      <w:tr>
        <w:trPr>
          <w:trHeight w:val="273"/>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1.投加PAC、PAM、磁种（超磁工艺）</w:t>
            </w:r>
            <w:r>
              <w:rPr>
                <w:rFonts w:ascii="宋体" w:hAnsi="宋体" w:cs="宋体"/>
                <w:color w:val="000000"/>
                <w:sz w:val="24"/>
                <w:highlight w:val="none"/>
              </w:rPr>
            </w:r>
            <w:r/>
          </w:p>
        </w:tc>
      </w:tr>
      <w:tr>
        <w:trPr>
          <w:trHeight w:val="90"/>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2.对相关河道断面进行巡河，现场测量透明度、巡查排口是否有污水排出，并进行记录。</w:t>
            </w:r>
            <w:r>
              <w:rPr>
                <w:rFonts w:ascii="宋体" w:hAnsi="宋体" w:cs="宋体"/>
                <w:color w:val="000000"/>
                <w:sz w:val="24"/>
                <w:highlight w:val="none"/>
              </w:rPr>
            </w:r>
            <w:r/>
          </w:p>
        </w:tc>
      </w:tr>
      <w:tr>
        <w:trPr>
          <w:trHeight w:val="259"/>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3.设备末端总出水口取样并查看出水浊度，格栅间查看进水浊度，并做好相关记录。</w:t>
            </w:r>
            <w:r>
              <w:rPr>
                <w:rFonts w:ascii="宋体" w:hAnsi="宋体" w:cs="宋体"/>
                <w:color w:val="000000"/>
                <w:sz w:val="24"/>
                <w:highlight w:val="none"/>
              </w:rPr>
            </w:r>
            <w:r/>
          </w:p>
        </w:tc>
      </w:tr>
      <w:tr>
        <w:trPr>
          <w:trHeight w:val="418"/>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4.查看工艺设备、进水泵、加药泵、回用水泵、药剂制备装置运转声音是否正常；电压表、电流表、流量计、液位计读数是否正常。</w:t>
            </w:r>
            <w:r>
              <w:rPr>
                <w:rFonts w:ascii="宋体" w:hAnsi="宋体" w:cs="宋体"/>
                <w:color w:val="000000"/>
                <w:sz w:val="24"/>
                <w:highlight w:val="none"/>
              </w:rPr>
            </w:r>
            <w:r/>
          </w:p>
        </w:tc>
      </w:tr>
      <w:tr>
        <w:trPr>
          <w:trHeight w:val="568"/>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5.检查电机、减速机、轴承温度是否偏高，润滑油脂、机油液位是否正常；电气零部件、管道是否破损，隔膜泵、螺杆泵等运行是否正常，查看设备螺栓是否紧固。</w:t>
            </w:r>
            <w:r>
              <w:rPr>
                <w:rFonts w:ascii="宋体" w:hAnsi="宋体" w:cs="宋体"/>
                <w:color w:val="000000"/>
                <w:sz w:val="24"/>
                <w:highlight w:val="none"/>
              </w:rPr>
            </w:r>
            <w:r/>
          </w:p>
        </w:tc>
      </w:tr>
      <w:tr>
        <w:trPr>
          <w:trHeight w:val="556"/>
        </w:trPr>
        <w:tc>
          <w:tcPr>
            <w:tcW w:w="5000" w:type="dxa"/>
            <w:vAlign w:val="center"/>
            <w:textDirection w:val="lrTb"/>
            <w:noWrap w:val="false"/>
          </w:tcPr>
          <w:p>
            <w:pPr>
              <w:pStyle w:val="1005"/>
              <w:jc w:val="left"/>
              <w:widowControl/>
              <w:rPr>
                <w:rFonts w:ascii="宋体" w:hAnsi="宋体" w:eastAsia="等线" w:cs="宋体"/>
                <w:color w:val="000000"/>
                <w:sz w:val="24"/>
                <w:highlight w:val="none"/>
              </w:rPr>
            </w:pPr>
            <w:r>
              <w:rPr>
                <w:rFonts w:hint="eastAsia" w:ascii="宋体" w:hAnsi="宋体" w:cs="宋体"/>
                <w:color w:val="000000"/>
                <w:sz w:val="24"/>
                <w:highlight w:val="none"/>
              </w:rPr>
              <w:t xml:space="preserve">6.检查PAM螺杆泵、PAC隔膜泵、磁种泵、回用水泵等设备过滤器是否堵塞；查看河道推流器、曝气管、MBBR、MABR等装置是否正常工作（是否运行噪音过大）。</w:t>
            </w:r>
            <w:r>
              <w:rPr>
                <w:rFonts w:ascii="宋体" w:hAnsi="宋体" w:eastAsia="等线" w:cs="宋体"/>
                <w:color w:val="000000"/>
                <w:sz w:val="24"/>
                <w:highlight w:val="none"/>
              </w:rPr>
            </w:r>
            <w:r/>
          </w:p>
        </w:tc>
      </w:tr>
      <w:tr>
        <w:trPr>
          <w:trHeight w:val="319"/>
        </w:trPr>
        <w:tc>
          <w:tcPr>
            <w:tcW w:w="5000" w:type="dxa"/>
            <w:vAlign w:val="center"/>
            <w:textDirection w:val="lrTb"/>
            <w:noWrap w:val="false"/>
          </w:tcPr>
          <w:p>
            <w:pPr>
              <w:pStyle w:val="1005"/>
              <w:jc w:val="left"/>
              <w:widowControl/>
              <w:rPr>
                <w:rFonts w:ascii="宋体" w:hAnsi="宋体" w:eastAsia="等线" w:cs="宋体"/>
                <w:color w:val="000000"/>
                <w:sz w:val="24"/>
                <w:highlight w:val="none"/>
              </w:rPr>
            </w:pPr>
            <w:r>
              <w:rPr>
                <w:rFonts w:hint="eastAsia" w:ascii="宋体" w:hAnsi="宋体" w:cs="宋体"/>
                <w:color w:val="000000"/>
                <w:sz w:val="24"/>
                <w:highlight w:val="none"/>
              </w:rPr>
              <w:t xml:space="preserve">7.清理净水站进水口、人工格栅、机械格栅垃圾。查看东市河、西市河、锁桥河抽排泵站设施设备是否正常工作，若有故障及时上报。抽排泵站人工格栅及进水口垃圾及时清理。</w:t>
            </w:r>
            <w:r>
              <w:rPr>
                <w:rFonts w:ascii="宋体" w:hAnsi="宋体" w:eastAsia="等线" w:cs="宋体"/>
                <w:color w:val="000000"/>
                <w:sz w:val="24"/>
                <w:highlight w:val="none"/>
              </w:rPr>
            </w:r>
            <w:r/>
          </w:p>
        </w:tc>
      </w:tr>
      <w:tr>
        <w:trPr>
          <w:trHeight w:val="293"/>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8.如实填报当天的运行日报表。</w:t>
            </w:r>
            <w:r>
              <w:rPr>
                <w:rFonts w:ascii="宋体" w:hAnsi="宋体" w:cs="宋体"/>
                <w:color w:val="000000"/>
                <w:sz w:val="24"/>
                <w:highlight w:val="none"/>
              </w:rPr>
            </w:r>
            <w:r/>
          </w:p>
        </w:tc>
      </w:tr>
      <w:tr>
        <w:trPr>
          <w:trHeight w:val="555"/>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9.清理净水站车间内外工作场所绿化、设施、设备及操作场所的卫生，维护好抽排泵站及周边环境卫生。</w:t>
            </w:r>
            <w:r>
              <w:rPr>
                <w:rFonts w:ascii="宋体" w:hAnsi="宋体" w:cs="宋体"/>
                <w:color w:val="000000"/>
                <w:sz w:val="24"/>
                <w:highlight w:val="none"/>
              </w:rPr>
            </w:r>
            <w:r/>
          </w:p>
        </w:tc>
      </w:tr>
      <w:tr>
        <w:trPr>
          <w:trHeight w:val="405"/>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10.如实记录药剂使用量、自来水、电量等数据，逐步优化药剂的投加率（在招标人要求的范围内）。为月度装置进出水、药剂单耗的汇总分析及年度最优投加率、节能降耗报告积累数据。</w:t>
            </w:r>
            <w:r>
              <w:rPr>
                <w:rFonts w:ascii="宋体" w:hAnsi="宋体" w:cs="宋体"/>
                <w:color w:val="000000"/>
                <w:sz w:val="24"/>
                <w:highlight w:val="none"/>
              </w:rPr>
            </w:r>
            <w:r/>
          </w:p>
        </w:tc>
      </w:tr>
      <w:tr>
        <w:trPr>
          <w:trHeight w:val="405"/>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11.在浮泥（浮油）、水生植物等多发季节，按要求及时打捞处理。</w:t>
            </w:r>
            <w:r>
              <w:rPr>
                <w:rFonts w:ascii="宋体" w:hAnsi="宋体" w:cs="宋体"/>
                <w:color w:val="000000"/>
                <w:sz w:val="24"/>
                <w:highlight w:val="none"/>
              </w:rPr>
            </w:r>
            <w:r/>
          </w:p>
        </w:tc>
      </w:tr>
      <w:tr>
        <w:trPr>
          <w:trHeight w:val="405"/>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12.净水站及抽排泵站、河道装置设施设备等故障后，及时上报招标方（做好台账记录）且中标人应按照</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维修工作内容清单</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要求及时维修。</w:t>
            </w:r>
            <w:r>
              <w:rPr>
                <w:rFonts w:ascii="宋体" w:hAnsi="宋体" w:cs="宋体"/>
                <w:color w:val="000000"/>
                <w:sz w:val="24"/>
                <w:highlight w:val="none"/>
              </w:rPr>
            </w:r>
            <w:r/>
          </w:p>
        </w:tc>
      </w:tr>
    </w:tbl>
    <w:p>
      <w:pPr>
        <w:pStyle w:val="1005"/>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说明：</w:t>
      </w:r>
      <w:r>
        <w:rPr>
          <w:rFonts w:hint="eastAsia" w:ascii="宋体" w:hAnsi="宋体"/>
          <w:color w:val="000000"/>
          <w:sz w:val="24"/>
          <w:highlight w:val="none"/>
        </w:rPr>
        <w:t xml:space="preserve">上述表格内容为每天巡检事项，若发现各类设备、电气、仪表无法正常工作，电机、减速机、轴承温度过高，出水浑浊</w:t>
      </w:r>
      <w:r>
        <w:rPr>
          <w:rFonts w:hint="eastAsia" w:ascii="宋体" w:hAnsi="宋体"/>
          <w:color w:val="000000"/>
          <w:sz w:val="24"/>
          <w:highlight w:val="none"/>
        </w:rPr>
        <w:t xml:space="preserve">等情况，应立即告知招标方，由招标方指导，中标方配合处理；若发现润滑油、脂低于正常刻度，管道漏水，过滤器堵塞，常规电气损坏等情况，中标方自行添加润滑油、机油，更换管道及常规电气配件，定时查看PAC、PAM、磁种用量并及时投加。人工格栅清理工具及垃圾箱、维护保养工具（内六角扳手、套筒扳手、活动扳手、老虎钳、尖嘴钳、管子钳、各类螺丝刀、验电笔、万用表、机油加油枪、润滑油加油枪等）、河道清理船舶、河道捞垃圾的斗和耙子、黄油、机油、PAC、PAM、磁种均由中标方自备且招标方不另行支付费用（相关费用已包含在总费用中）。</w:t>
      </w:r>
      <w:r>
        <w:rPr>
          <w:rFonts w:hint="eastAsia" w:ascii="宋体" w:hAnsi="宋体"/>
          <w:b/>
          <w:bCs/>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2.运行质量标准</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按照系统工艺要求，当进水SS&lt;100mg/l且浊度＜100NTU，运行出水考核指标pH=6-9，SS≤10mg/l，浊度≤10NTU，TP≤0.2mg/l，透明度≥100cm或见底(河道出水口)。</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3.服务要求</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中标人必须严格按照超磁系统运行工艺操作规程进行各项运行操作，遵守招标人的各项制度和管理规定，并服从管理；</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中标人必须严格执行《劳动法》用工工作时间及工资标准的有关规定，并承担其雇员的劳动报酬、福利待遇、按劳动法缴纳社会保险、劳动保护、工伤抚恤等用人费用，承担未正确执行劳动法用工规定所产生的法律责任；</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辅助工艺管线、过滤器、滤网、PAM制药装置的隔仓（包括液位计探头）清洗、加黄油机油甘油、更换磁种泵软管、清洗回水泵过滤网、控制柜的除灰除尘、抽排泵站捞垃圾、河道装置清理树枝树叶等日常保养均由中标人负责；《维修工作内容清单》涉及的净水站、抽排泵站、河道装置的设施设备等维修工作（相关费用已纳入总费用中），由中标人负责。</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中标人每天须按招标人要求路线沿补水河道进行巡查，相关河道设施进行查看是否正常工作、沿河排口是否有污水排出、测量河道断面透明度、外河透明度，并进行拍照上传，做好相关台账记录，有异常情况须及时拍照、拍视频并电话联系招标单位相关管理人员。</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中标人需按照招标人的要求对抽排泵站及净水站进水口、人工格栅、机械格栅、压榨机等进行清理，对沿河设备上的树枝、树叶等进行清理。</w:t>
      </w:r>
      <w:r>
        <w:rPr>
          <w:rFonts w:hint="eastAsia" w:ascii="宋体" w:hAnsi="宋体"/>
          <w:color w:val="000000"/>
          <w:sz w:val="24"/>
          <w:highlight w:val="none"/>
        </w:rPr>
      </w:r>
      <w:r/>
    </w:p>
    <w:p>
      <w:pPr>
        <w:pStyle w:val="100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4.现场操作人员配置要求</w:t>
      </w:r>
      <w:r>
        <w:rPr>
          <w:rFonts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净水站运维社会化服务设置1名项目负责人，1名技术负责人及不少于14名操作工。</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（1）项目负责</w:t>
      </w:r>
      <w:r>
        <w:rPr>
          <w:rFonts w:hint="eastAsia" w:ascii="宋体" w:hAnsi="宋体"/>
          <w:color w:val="000000"/>
          <w:sz w:val="24"/>
          <w:highlight w:val="none"/>
        </w:rPr>
        <w:t xml:space="preserve">人基本要求：男性，身体健康，语言表达能力强，具有一定的工作组织和沟通协调能力。了解水处理工艺原理及技术，具有一定的分析、写作能力，熟练掌握Word、Excel、ppt等办公软件。</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（2）技术负责人基本要求：男性，身体健康，具有丰富的机电设备维修/保养经验。</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（3）操作工基本要求：男性，身体健康，年龄≤55周岁。能通</w:t>
      </w:r>
      <w:r>
        <w:rPr>
          <w:rFonts w:hint="eastAsia" w:ascii="宋体" w:hAnsi="宋体"/>
          <w:color w:val="000000"/>
          <w:sz w:val="24"/>
          <w:highlight w:val="none"/>
        </w:rPr>
        <w:t xml:space="preserve">过培训掌握净水站运行涉及的所有操作内容，具有电工证的最佳。</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合同签订后一个月内中标人必须提供为所派人员办理的100万（含）以上保额的雇主险证明。</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中标人必须保证所派员工的稳定性，不得随意调整或更换在岗运行人员，调整或更换人员必须在满足招标文件人员要求的前提下，事先以书面形式向招标人报备，并获得招标人同意。</w:t>
      </w:r>
      <w:r>
        <w:rPr>
          <w:rFonts w:hint="eastAsia" w:ascii="宋体" w:hAnsi="宋体"/>
          <w:color w:val="000000"/>
          <w:sz w:val="24"/>
          <w:highlight w:val="none"/>
        </w:rPr>
      </w:r>
      <w:r/>
    </w:p>
    <w:p>
      <w:pPr>
        <w:pStyle w:val="1005"/>
        <w:ind w:firstLine="482"/>
        <w:spacing w:line="360" w:lineRule="auto"/>
        <w:rPr>
          <w:rFonts w:hint="eastAsia" w:ascii="宋体" w:hAnsi="宋体"/>
          <w:b/>
          <w:bCs/>
          <w:color w:val="000000"/>
          <w:sz w:val="24"/>
          <w:highlight w:val="none"/>
        </w:rPr>
        <w:outlineLvl w:val="2"/>
      </w:pPr>
      <w:r>
        <w:rPr>
          <w:rFonts w:hint="eastAsia" w:ascii="宋体" w:hAnsi="宋体"/>
          <w:b/>
          <w:bCs/>
          <w:color w:val="000000"/>
          <w:sz w:val="24"/>
          <w:highlight w:val="none"/>
        </w:rPr>
        <w:t xml:space="preserve">（二）运行维护要求</w:t>
      </w:r>
      <w:r>
        <w:rPr>
          <w:rFonts w:hint="eastAsia" w:ascii="宋体" w:hAnsi="宋体"/>
          <w:b/>
          <w:bCs/>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每天清理广化桥、椿桂园、青山绿地、五星、双桥、章家浜、三宝浜七个净水站进水口、机械格栅、人工格栅的垃圾，另外根据招标人要求定期清理东市河、西市河、锁桥河三个抽排泵站进水口及人工格栅以及河道推流器、景观喷泉等装置的表面附着垃圾，检查电柜接线端子是否松动，查看设备是否存在漏电现象，并予以处理。在汛期根据水位情况及时做好造流曝气机设备的停机及调整设备安装高度（四个蓝色浮子不能在水面以下）；定期检查椿桂园景观出水水泵是否完好，并及时向泵站所汇报。</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2.按照招标人要求，每日定时开启各个河道设备（造流曝气机、景观喷泉、景观水泵、增氧盘等），并定期巡视设备的运行状况。</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3.做好每日设备运行维护台账。</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4.提前做好在雨天、大风等极端天气时的设备运行应急预案。</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5.河道推流器等相关设备维护及打捞浮泥、浮油过程、应急打捞处置水生植物中用到的船只、救生设备等均由中标单位自备，船只使用等相关手续由中标单位自行办理，招标单位提供协助。</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6.在汛期大雨、暴雨及短时强降雨，密切关注净水站进水闸门的状态（每年汛期前进水闸门进行一次保养），有异常及时电话汇报。</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7.中标人在提供服务前须与招标人签订安全生产协议，</w:t>
      </w:r>
      <w:bookmarkStart w:id="819" w:name="OLE_LINK6"/>
      <w:r/>
      <w:bookmarkStart w:id="820" w:name="OLE_LINK5"/>
      <w:r>
        <w:rPr>
          <w:rFonts w:hint="eastAsia" w:ascii="宋体" w:hAnsi="宋体"/>
          <w:color w:val="000000"/>
          <w:sz w:val="24"/>
          <w:highlight w:val="none"/>
        </w:rPr>
        <w:t xml:space="preserve">中标人有义务接受招标人及有关部门的工作监督和安全检查，有义务配合招标人接受媒体采访</w:t>
      </w:r>
      <w:bookmarkEnd w:id="819"/>
      <w:r/>
      <w:bookmarkEnd w:id="820"/>
      <w:r>
        <w:rPr>
          <w:rFonts w:hint="eastAsia" w:ascii="宋体" w:hAnsi="宋体"/>
          <w:color w:val="000000"/>
          <w:sz w:val="24"/>
          <w:highlight w:val="none"/>
        </w:rPr>
        <w:t xml:space="preserve">。中标单位需定期的组织操作人员进行安全演练（至少1年1次），突发事件的处理、消防知识的学习，设备运行时的安全检查，电气零部件安全操作培训等。</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8.中标人必须严格按照水处理工艺操作规程进行各项运行操作，遵守招标人的各项制度和管理规定，并服从管理；</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9.必须保证泵站内卫生及泵站外周边工作区域内的清洁卫生。</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10.设备巡检注意事项</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（1）做好设备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表面工作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，以设备清洁为起点，对设备表面存在的脏、乱、油等问题进行全面清理，改善现场面貌。</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（2）应每天检查减速机运行情况，油位是否在规定油线处，如机油不足时补充油位到视镜上下限之间，注意机油不能过量加入，以免影响散热，而且易溢出。</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（3）每2小时巡检螺旋输送密封盘根是否漏液，如有发现及时紧固4颗压盘螺栓。</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（4）每2小时检查隔膜泵的运行情况：包括电机运行是否正常，进出口法兰及连接是否有松动情况，进出口管道有无破损泄漏，如有及时维护或更换以防患于未然。</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（5）对Y型过滤器及时进行清洗，保证流量准确。</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（6）运行过程中要每周对设备固定螺栓或运行部件进行检查，并作相应的紧固和调整。</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（7）运行过程中注意各电气设备运行是否正常，如出现过热等情况应及时通知所部电工到场检查处理，若不能恢复，则通知设备员联系外协处理。</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（8）每周检查一次主机、辅机等黄油是否添加到油嘴有油冒出，否则继续添加。</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（9）每15天给齿轮涂抹润滑脂，保证传动正常。</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（10）加大重点设备（超磁主机、辅机、絮团分散机、PAM制药装置）的巡查频次，注意声音及减速机的温度。</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（11）定期检查PAM制药装置，及时进行设备清堵清洁，含液位计清洁以减少失真故障。</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（12）每月对浊度仪探头进行清洗，减少仪表失真故障。</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（13）每月对沿河装置的断树枝等垃圾进行清理。</w:t>
      </w:r>
      <w:r>
        <w:rPr>
          <w:rFonts w:hint="eastAsia" w:ascii="宋体" w:hAnsi="宋体"/>
          <w:color w:val="000000"/>
          <w:sz w:val="24"/>
          <w:highlight w:val="none"/>
        </w:rPr>
      </w:r>
      <w:r/>
    </w:p>
    <w:p>
      <w:pPr>
        <w:pStyle w:val="1005"/>
        <w:ind w:firstLine="482"/>
        <w:spacing w:line="360" w:lineRule="auto"/>
        <w:rPr>
          <w:rFonts w:hint="eastAsia" w:ascii="宋体" w:hAnsi="宋体"/>
          <w:b/>
          <w:bCs/>
          <w:color w:val="000000"/>
          <w:sz w:val="24"/>
          <w:highlight w:val="none"/>
        </w:rPr>
        <w:outlineLvl w:val="2"/>
      </w:pPr>
      <w:r>
        <w:rPr>
          <w:rFonts w:hint="eastAsia" w:ascii="宋体" w:hAnsi="宋体"/>
          <w:b/>
          <w:bCs/>
          <w:color w:val="000000"/>
          <w:sz w:val="24"/>
          <w:highlight w:val="none"/>
        </w:rPr>
        <w:t xml:space="preserve">（三）其他要求</w:t>
      </w:r>
      <w:r>
        <w:rPr>
          <w:rFonts w:hint="eastAsia" w:ascii="宋体" w:hAnsi="宋体"/>
          <w:b/>
          <w:bCs/>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1.每月对装置及河道进行水质、药剂单耗等进行汇总统计。</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2.针对不同季节、枯水期汛期、白天黑夜、大中小雨对药剂的投加率进行摸索，进行调整。</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3.在日常运维工作中，不断开展节能降耗工作。</w:t>
      </w:r>
      <w:r>
        <w:rPr>
          <w:rFonts w:hint="eastAsia" w:ascii="宋体" w:hAnsi="宋体"/>
          <w:color w:val="000000"/>
          <w:sz w:val="24"/>
          <w:highlight w:val="none"/>
        </w:rPr>
      </w:r>
      <w:r/>
    </w:p>
    <w:p>
      <w:pPr>
        <w:pStyle w:val="1005"/>
        <w:ind w:firstLine="482"/>
        <w:spacing w:line="360" w:lineRule="auto"/>
        <w:rPr>
          <w:rFonts w:hint="eastAsia" w:ascii="宋体" w:hAnsi="宋体"/>
          <w:b/>
          <w:bCs/>
          <w:color w:val="000000"/>
          <w:sz w:val="24"/>
          <w:highlight w:val="none"/>
        </w:rPr>
        <w:outlineLvl w:val="2"/>
      </w:pPr>
      <w:r>
        <w:rPr>
          <w:rFonts w:hint="eastAsia" w:ascii="宋体" w:hAnsi="宋体"/>
          <w:b/>
          <w:bCs/>
          <w:color w:val="000000"/>
          <w:sz w:val="24"/>
          <w:highlight w:val="none"/>
        </w:rPr>
        <w:t xml:space="preserve">（四）维修工作内容清单</w:t>
      </w:r>
      <w:r>
        <w:rPr>
          <w:rFonts w:hint="eastAsia" w:ascii="宋体" w:hAnsi="宋体"/>
          <w:b/>
          <w:bCs/>
          <w:color w:val="000000"/>
          <w:sz w:val="24"/>
          <w:highlight w:val="none"/>
        </w:rPr>
      </w:r>
      <w:r/>
    </w:p>
    <w:tbl>
      <w:tblPr>
        <w:tblW w:w="8576"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46"/>
        <w:gridCol w:w="2250"/>
        <w:gridCol w:w="4020"/>
        <w:gridCol w:w="1560"/>
      </w:tblGrid>
      <w:tr>
        <w:trPr>
          <w:trHeight w:val="391"/>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维修内容</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规格型号或其他说明</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推荐品牌</w:t>
            </w:r>
            <w:r>
              <w:rPr>
                <w:rFonts w:ascii="宋体" w:hAnsi="宋体" w:cs="宋体"/>
                <w:b/>
                <w:bCs/>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防火封堵</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有需封堵点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rPr>
                <w:rFonts w:ascii="宋体" w:hAnsi="宋体" w:cs="宋体"/>
                <w:b/>
                <w:bCs/>
                <w:color w:val="000000"/>
                <w:sz w:val="24"/>
                <w:highlight w:val="none"/>
              </w:rPr>
            </w:pPr>
            <w:r>
              <w:rPr>
                <w:rFonts w:ascii="宋体" w:hAnsi="宋体" w:cs="宋体"/>
                <w:b/>
                <w:bCs/>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可视化电缆盖板</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600*600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铰链/锁扣维修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适用各类控制柜、低压动力柜、按钮箱、转接箱、开关箱</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塑壳断路器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NSX160N/3P TMD 80~250A(以下、含250A)</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施耐德/ABB/西门子</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塑壳断路器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CM3-400L/3300；225~400A以下(含、400A)</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塑壳断路器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CM3-400L/3340；225~400A；带分励辅助（以下、含400A）</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微型断路器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iC65N 1P C16~100A（以下/含100A）</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施耐德/ABB/西门子</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开关面板、插座</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照明灯具（含应急照明）、应急指示牌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熔断器及熔座</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指示灯、旋钮、按钮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转换开关、限位开关</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适配现有型号及档位</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电流互感器、电压互感器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低压系统</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多功能表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ZEF96L LED 5A</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电压表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6L2-V-0-250(450)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电流表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6L2-A-5~4000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控制柜内智能除湿器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中间继电器(含底座)</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24V及以下电源模块及电源适配器维修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现有型号规格或兼容型号规适；不含专业电源（如PLC专用供电模块等），安防设备电源维修仅含泵站场地内。</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控制变压器、隔离变压器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控制柜通风风机</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交流接触器（含辅助触点）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热继电器(含底座)</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水泵综合保护器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启动电容器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220V绕组电机</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配电箱体(壳)</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PZ30-15S；锌板；喷塑；含盖</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配电箱体(壳)</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600*800(H)*200；S304；喷塑（及以下）</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一次端子、二次端子</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不分型号（控制柜内）</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一次导线、二次导线</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不分型号(含铜鼻子)</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卷帘门按钮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混流风机（含构筑物换气扇）</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单层百叶风口</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门板焊接</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漏保微型断路器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4P （及以下）；100A及以下</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电动机热磁断路器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GV2ME06~16；1~14A</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施耐德</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固定式交流接触器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170A；AC；2NO+2NC（及以下）</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施耐德</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导轨式交流接触器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63A；AC；2NO+2NC（及以下）</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浪涌保护器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绝缘子</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M10及以内综合</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继电器模组</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LC-16NG8C-D24（低压系统）</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温控仪表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智能温控器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12V蓄电池</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模数化插座</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电气导轨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环氧板</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3mm及以下；</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钢化玻璃</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6mm及以下；</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有机玻璃</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6mm及以下；</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变频器调速电阻</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现有控制柜绝缘挡板</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变频器维修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5.5KW以下（含5.5KW）</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施耐德/ABB/西门子</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软启动器维修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5.5KW以下（含5.5KW）</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ABB/施耐德/西门子</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模拟量隔离器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24V避雷器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PAD-24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薄片继电器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PLC-RSC-24DC/21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菲尼克斯</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水泵中转柜</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不锈钢；950*500*250mm</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成组电缆液位浮球液位开关</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SL-PG2-1.5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不锈钢保护罩</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450*450*10mm；厚度2mm</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水温传感器、转速传感器、油压传感器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压力表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减压阀</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卫生洁具（含单相泵）</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管道、穿线管局部更换</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现场适配，镀锌管DN50以下</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水龙头</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不分大小</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PVC水阀</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现有尺寸</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PPR水阀</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现有尺寸</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闸阀</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DN100以下（含100）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球阀</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DN100以下（含100）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止回阀</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DN100以下（含100）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波纹补偿器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DN100以下（含100）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5.5KW以下电机</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电机传动联轴器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电机冷却风机</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电机冷却风叶</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电机接线柱</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电机接线盒</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螺栓（丝）、螺帽零星更换</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磁种泵膜片</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PAC膜片</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隔膜泵安全阀</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搅拌机桨叶</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超磁分离机辅机</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负责辅机两段轴承的维修更换</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格栅及压榨机维修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轴承、链条</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设备本体、各类金属容器及现场金属管道破裂、渗漏的应急封堵处置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浸入式探测器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8孔百/千兆小型交换机</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泵站内网络线路维修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水晶头制作；更换网线；不含需开挖放线工作；不含河道摄像头、录像机相关网络维修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88</w:t>
            </w:r>
            <w:r>
              <w:rPr>
                <w:rFonts w:ascii="宋体" w:hAnsi="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设备信号、供电电缆（线）</w:t>
            </w:r>
            <w:r>
              <w:rPr>
                <w:rFonts w:ascii="宋体" w:hAnsi="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净水站构筑物内，不含需开挖的放线工作；不含净水站进出水水泵、电动闸门线路</w:t>
            </w:r>
            <w:r>
              <w:rPr>
                <w:rFonts w:ascii="宋体" w:hAnsi="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5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89</w:t>
            </w:r>
            <w:r>
              <w:rPr>
                <w:rFonts w:ascii="宋体" w:hAnsi="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房屋建筑设施漏水应急处置</w:t>
            </w:r>
            <w:r>
              <w:rPr>
                <w:rFonts w:ascii="宋体" w:hAnsi="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应急防水封堵</w:t>
            </w:r>
            <w:r>
              <w:rPr>
                <w:rFonts w:ascii="宋体" w:hAnsi="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5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90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河道设备维修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曝气推流机及其相关设备控制柜内电气原件（参考表内内容）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bl>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中标人在发现设备故障时，应及时查明故障原因并排除故障，确需维修的，中标人根据上述表格内容进行维修；上述表格暂未列明的维修内容，中标人仍有义务对故障原因进行排查，并配合招标人及招标人安排的第三方进行维修工作。</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2.招标人有权根据实际需要对上述清单内容进行调整。</w:t>
      </w:r>
      <w:r>
        <w:rPr>
          <w:rFonts w:hint="eastAsia" w:ascii="宋体" w:hAnsi="宋体"/>
          <w:color w:val="000000"/>
          <w:sz w:val="24"/>
          <w:highlight w:val="none"/>
        </w:rPr>
      </w:r>
      <w:r/>
    </w:p>
    <w:p>
      <w:pPr>
        <w:pStyle w:val="10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3.中标人在实际维修过程中，单项维修费用过高时（一般排除中标人自身人工成本后，费用在2000元以上），中标人可向招标人提交情况说明及报价单等材料，双方协商解决。</w:t>
      </w:r>
      <w:r>
        <w:rPr>
          <w:rFonts w:hint="eastAsia" w:ascii="宋体" w:hAnsi="宋体"/>
          <w:color w:val="000000"/>
          <w:sz w:val="24"/>
          <w:highlight w:val="none"/>
        </w:rPr>
      </w:r>
      <w:r/>
    </w:p>
    <w:p>
      <w:pPr>
        <w:pStyle w:val="1005"/>
        <w:ind w:firstLine="482"/>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四、考核及付款方式</w:t>
      </w:r>
      <w:r>
        <w:rPr>
          <w:rFonts w:hint="eastAsia" w:ascii="宋体" w:hAnsi="宋体"/>
          <w:b/>
          <w:bCs/>
          <w:color w:val="000000"/>
          <w:sz w:val="24"/>
          <w:highlight w:val="none"/>
        </w:rPr>
      </w:r>
      <w:r/>
    </w:p>
    <w:p>
      <w:pPr>
        <w:pStyle w:val="10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1.考核方式</w:t>
      </w:r>
      <w:r>
        <w:rPr>
          <w:rFonts w:ascii="宋体" w:hAnsi="宋体" w:cs="宋体"/>
          <w:color w:val="000000"/>
          <w:sz w:val="24"/>
          <w:highlight w:val="none"/>
        </w:rPr>
      </w:r>
      <w:r/>
    </w:p>
    <w:p>
      <w:pPr>
        <w:pStyle w:val="10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对中标人的月度考核采取百分制，每月按合同附件2《服务项目月度考核表》考核一次。月度考核得分90分以上（含90分），按固定单价结算；月度考核得分低于90分的，每低一分扣除当月服务费用的1%。中标人累计两个月考核低于85分，招标人有权单方解除合同并没收履约保证金。</w:t>
      </w:r>
      <w:r>
        <w:rPr>
          <w:rFonts w:ascii="宋体" w:hAnsi="宋体" w:cs="宋体"/>
          <w:color w:val="000000"/>
          <w:sz w:val="24"/>
          <w:highlight w:val="none"/>
        </w:rPr>
      </w:r>
      <w:r/>
    </w:p>
    <w:p>
      <w:pPr>
        <w:pStyle w:val="1005"/>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因中标人服务不符合约定标准，给招标人造成经济损失的，招标人有权直接从当月或后续支付的服务费中予以抵扣。该经济损失的抵扣独立于中标人因月度考核低于90分而产生的费用扣除。</w:t>
      </w:r>
      <w:r>
        <w:rPr>
          <w:rFonts w:ascii="宋体" w:hAnsi="宋体"/>
          <w:color w:val="000000"/>
          <w:sz w:val="24"/>
          <w:highlight w:val="none"/>
        </w:rPr>
      </w:r>
      <w:r/>
    </w:p>
    <w:p>
      <w:pPr>
        <w:pStyle w:val="100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2.付款方式</w:t>
      </w:r>
      <w:r>
        <w:rPr>
          <w:rFonts w:hint="eastAsia" w:ascii="宋体" w:hAnsi="宋体" w:cs="宋体"/>
          <w:color w:val="000000"/>
          <w:sz w:val="24"/>
          <w:highlight w:val="none"/>
        </w:rPr>
      </w:r>
      <w:r/>
    </w:p>
    <w:p>
      <w:pPr>
        <w:pStyle w:val="1005"/>
        <w:ind w:firstLine="480"/>
        <w:spacing w:line="360" w:lineRule="auto"/>
        <w:rPr>
          <w:rFonts w:ascii="宋体" w:hAnsi="宋体" w:cs="宋体"/>
          <w:color w:val="000000"/>
          <w:sz w:val="24"/>
          <w:highlight w:val="none"/>
        </w:rPr>
        <w:sectPr>
          <w:footerReference w:type="default" r:id="rId21"/>
          <w:footnotePr/>
          <w:endnotePr/>
          <w:type w:val="nextPage"/>
          <w:pgSz w:w="11907" w:h="16840" w:orient="portrait"/>
          <w:pgMar w:top="1440" w:right="1803" w:bottom="1440" w:left="1803" w:header="851" w:footer="851" w:gutter="0"/>
          <w:cols w:num="1" w:sep="0" w:space="1701" w:equalWidth="1"/>
          <w:docGrid w:linePitch="360"/>
        </w:sectPr>
      </w:pPr>
      <w:r>
        <w:rPr>
          <w:rFonts w:hint="eastAsia" w:ascii="宋体" w:hAnsi="宋体" w:cs="宋体"/>
          <w:color w:val="000000"/>
          <w:sz w:val="24"/>
          <w:highlight w:val="none"/>
        </w:rPr>
        <w:t xml:space="preserve">招标人每月根据合同附件2《服务项目月度考核表》对中标人上月工作进行考核，根据考核结果每两个月进行一次结算。</w:t>
      </w:r>
      <w:r>
        <w:rPr>
          <w:rFonts w:ascii="宋体" w:hAnsi="宋体" w:cs="宋体"/>
          <w:color w:val="000000"/>
          <w:sz w:val="24"/>
          <w:highlight w:val="none"/>
        </w:rPr>
      </w:r>
      <w:r/>
    </w:p>
    <w:p>
      <w:pPr>
        <w:pStyle w:val="1005"/>
        <w:jc w:val="center"/>
        <w:spacing w:line="360" w:lineRule="auto"/>
        <w:rPr>
          <w:b/>
          <w:color w:val="000000"/>
          <w:sz w:val="36"/>
          <w:szCs w:val="36"/>
          <w:highlight w:val="none"/>
        </w:rPr>
        <w:outlineLvl w:val="0"/>
      </w:pPr>
      <w:r>
        <w:rPr>
          <w:b/>
          <w:color w:val="000000"/>
          <w:sz w:val="36"/>
          <w:szCs w:val="36"/>
          <w:highlight w:val="none"/>
        </w:rPr>
        <w:t xml:space="preserve">第六章   拟签订的合同文本</w:t>
      </w:r>
      <w:bookmarkEnd w:id="816"/>
      <w:r>
        <w:rPr>
          <w:b/>
          <w:color w:val="000000"/>
          <w:sz w:val="36"/>
          <w:szCs w:val="36"/>
          <w:highlight w:val="none"/>
        </w:rPr>
      </w:r>
      <w:r/>
    </w:p>
    <w:p>
      <w:pPr>
        <w:pStyle w:val="1005"/>
        <w:jc w:val="center"/>
        <w:spacing w:line="440" w:lineRule="exact"/>
        <w:widowControl/>
        <w:rPr>
          <w:rFonts w:ascii="宋体" w:hAnsi="宋体"/>
          <w:b/>
          <w:bCs/>
          <w:color w:val="000000"/>
          <w:sz w:val="36"/>
          <w:szCs w:val="36"/>
          <w:highlight w:val="none"/>
        </w:rPr>
      </w:pPr>
      <w:r>
        <w:rPr>
          <w:rFonts w:hint="eastAsia" w:ascii="宋体" w:hAnsi="宋体"/>
          <w:b/>
          <w:bCs/>
          <w:color w:val="000000"/>
          <w:sz w:val="36"/>
          <w:szCs w:val="36"/>
          <w:highlight w:val="none"/>
          <w:lang w:eastAsia="zh-CN"/>
        </w:rPr>
        <w:t xml:space="preserve">2026年度净水站运维社会化服务</w:t>
      </w:r>
      <w:r>
        <w:rPr>
          <w:rFonts w:ascii="宋体" w:hAnsi="宋体"/>
          <w:b/>
          <w:bCs/>
          <w:color w:val="000000"/>
          <w:sz w:val="36"/>
          <w:szCs w:val="36"/>
          <w:highlight w:val="none"/>
        </w:rPr>
        <w:t xml:space="preserve">合同</w:t>
      </w:r>
      <w:r>
        <w:rPr>
          <w:rFonts w:ascii="宋体" w:hAnsi="宋体"/>
          <w:b/>
          <w:bCs/>
          <w:color w:val="000000"/>
          <w:sz w:val="36"/>
          <w:szCs w:val="36"/>
          <w:highlight w:val="none"/>
        </w:rPr>
      </w:r>
      <w:r/>
    </w:p>
    <w:p>
      <w:pPr>
        <w:pStyle w:val="1005"/>
        <w:jc w:val="center"/>
        <w:spacing w:line="440" w:lineRule="exact"/>
        <w:widowControl/>
        <w:rPr>
          <w:rFonts w:ascii="宋体" w:hAnsi="宋体"/>
          <w:color w:val="000000"/>
          <w:sz w:val="24"/>
          <w:highlight w:val="none"/>
          <w:u w:val="single"/>
        </w:rPr>
      </w:pPr>
      <w:r>
        <w:rPr>
          <w:rFonts w:ascii="宋体" w:hAnsi="宋体"/>
          <w:color w:val="000000"/>
          <w:sz w:val="24"/>
          <w:highlight w:val="none"/>
        </w:rPr>
        <w:t xml:space="preserve">                         合同编号：</w:t>
      </w:r>
      <w:r>
        <w:rPr>
          <w:rFonts w:ascii="宋体" w:hAnsi="宋体"/>
          <w:color w:val="000000"/>
          <w:sz w:val="24"/>
          <w:highlight w:val="none"/>
          <w:u w:val="single"/>
        </w:rPr>
        <w:t xml:space="preserve">             </w:t>
      </w:r>
      <w:r>
        <w:rPr>
          <w:rFonts w:ascii="宋体" w:hAnsi="宋体"/>
          <w:color w:val="000000"/>
          <w:sz w:val="24"/>
          <w:highlight w:val="none"/>
          <w:u w:val="single"/>
        </w:rPr>
      </w:r>
      <w:r/>
    </w:p>
    <w:p>
      <w:pPr>
        <w:pStyle w:val="1005"/>
        <w:jc w:val="right"/>
        <w:spacing w:line="440" w:lineRule="exact"/>
        <w:widowControl/>
        <w:rPr>
          <w:rFonts w:ascii="宋体" w:hAnsi="宋体"/>
          <w:color w:val="000000"/>
          <w:sz w:val="24"/>
          <w:highlight w:val="none"/>
        </w:rPr>
      </w:pPr>
      <w:r>
        <w:rPr>
          <w:rFonts w:hint="eastAsia" w:ascii="宋体" w:hAnsi="宋体"/>
          <w:color w:val="000000"/>
          <w:sz w:val="24"/>
          <w:highlight w:val="none"/>
        </w:rPr>
        <w:t xml:space="preserve">签订时间：     年   月   日</w:t>
      </w:r>
      <w:r>
        <w:rPr>
          <w:rFonts w:ascii="宋体" w:hAnsi="宋体"/>
          <w:color w:val="000000"/>
          <w:sz w:val="24"/>
          <w:highlight w:val="none"/>
        </w:rPr>
      </w:r>
      <w:r/>
    </w:p>
    <w:p>
      <w:pPr>
        <w:pStyle w:val="1005"/>
        <w:jc w:val="left"/>
        <w:spacing w:line="440" w:lineRule="exact"/>
        <w:widowControl/>
        <w:rPr>
          <w:rFonts w:ascii="宋体" w:hAnsi="宋体"/>
          <w:color w:val="000000"/>
          <w:sz w:val="24"/>
          <w:highlight w:val="none"/>
        </w:rPr>
      </w:pPr>
      <w:r>
        <w:rPr>
          <w:rFonts w:hint="eastAsia" w:ascii="宋体" w:hAnsi="宋体" w:cs="宋体"/>
          <w:color w:val="000000"/>
          <w:sz w:val="24"/>
          <w:highlight w:val="none"/>
        </w:rPr>
        <w:t xml:space="preserve"> </w:t>
      </w:r>
      <w:r>
        <w:rPr>
          <w:rFonts w:ascii="宋体" w:hAnsi="宋体"/>
          <w:color w:val="000000"/>
          <w:sz w:val="24"/>
          <w:highlight w:val="none"/>
        </w:rPr>
      </w:r>
      <w:r/>
    </w:p>
    <w:p>
      <w:pPr>
        <w:pStyle w:val="1005"/>
        <w:jc w:val="left"/>
        <w:spacing w:line="360" w:lineRule="auto"/>
        <w:widowControl/>
        <w:rPr>
          <w:rStyle w:val="1085"/>
          <w:rFonts w:ascii="宋体" w:hAnsi="宋体" w:cs="宋体"/>
          <w:b w:val="0"/>
          <w:color w:val="000000"/>
          <w:sz w:val="24"/>
          <w:highlight w:val="none"/>
        </w:rPr>
      </w:pPr>
      <w:r>
        <w:rPr>
          <w:rStyle w:val="1085"/>
          <w:rFonts w:hint="eastAsia" w:ascii="宋体" w:hAnsi="宋体" w:cs="宋体"/>
          <w:b w:val="0"/>
          <w:color w:val="000000"/>
          <w:sz w:val="24"/>
          <w:highlight w:val="none"/>
        </w:rPr>
        <w:t xml:space="preserve">甲方（甲方）：常州市排水管理处</w:t>
      </w:r>
      <w:r>
        <w:rPr>
          <w:rStyle w:val="1085"/>
          <w:rFonts w:ascii="宋体" w:hAnsi="宋体" w:cs="宋体"/>
          <w:b w:val="0"/>
          <w:color w:val="000000"/>
          <w:sz w:val="24"/>
          <w:highlight w:val="none"/>
        </w:rPr>
      </w:r>
      <w:r/>
    </w:p>
    <w:p>
      <w:pPr>
        <w:pStyle w:val="1005"/>
        <w:jc w:val="left"/>
        <w:spacing w:line="360" w:lineRule="auto"/>
        <w:widowControl/>
        <w:rPr>
          <w:rStyle w:val="1085"/>
          <w:rFonts w:ascii="宋体" w:hAnsi="宋体" w:cs="宋体"/>
          <w:b w:val="0"/>
          <w:color w:val="000000"/>
          <w:sz w:val="24"/>
          <w:highlight w:val="none"/>
        </w:rPr>
      </w:pPr>
      <w:r>
        <w:rPr>
          <w:rStyle w:val="1085"/>
          <w:rFonts w:hint="eastAsia" w:ascii="宋体" w:hAnsi="宋体" w:cs="宋体"/>
          <w:b w:val="0"/>
          <w:color w:val="000000"/>
          <w:sz w:val="24"/>
          <w:highlight w:val="none"/>
        </w:rPr>
        <w:t xml:space="preserve">住所地：常州市飞龙东路116号</w:t>
      </w:r>
      <w:r>
        <w:rPr>
          <w:rStyle w:val="1085"/>
          <w:rFonts w:ascii="宋体" w:hAnsi="宋体" w:cs="宋体"/>
          <w:b w:val="0"/>
          <w:color w:val="000000"/>
          <w:sz w:val="24"/>
          <w:highlight w:val="none"/>
        </w:rPr>
      </w:r>
      <w:r/>
    </w:p>
    <w:p>
      <w:pPr>
        <w:pStyle w:val="1005"/>
        <w:jc w:val="left"/>
        <w:spacing w:line="360" w:lineRule="auto"/>
        <w:widowControl/>
        <w:rPr>
          <w:rStyle w:val="1085"/>
          <w:rFonts w:ascii="宋体" w:hAnsi="宋体" w:cs="宋体"/>
          <w:b w:val="0"/>
          <w:color w:val="000000"/>
          <w:sz w:val="24"/>
          <w:highlight w:val="none"/>
        </w:rPr>
      </w:pPr>
      <w:r>
        <w:rPr>
          <w:rStyle w:val="1085"/>
          <w:rFonts w:hint="eastAsia" w:ascii="宋体" w:hAnsi="宋体" w:cs="宋体"/>
          <w:b w:val="0"/>
          <w:color w:val="000000"/>
          <w:sz w:val="24"/>
          <w:highlight w:val="none"/>
        </w:rPr>
        <w:t xml:space="preserve">法定代表人：许光明</w:t>
      </w:r>
      <w:r>
        <w:rPr>
          <w:rStyle w:val="1085"/>
          <w:rFonts w:ascii="宋体" w:hAnsi="宋体" w:cs="宋体"/>
          <w:b w:val="0"/>
          <w:color w:val="000000"/>
          <w:sz w:val="24"/>
          <w:highlight w:val="none"/>
        </w:rPr>
      </w:r>
      <w:r/>
    </w:p>
    <w:p>
      <w:pPr>
        <w:pStyle w:val="1005"/>
        <w:jc w:val="left"/>
        <w:spacing w:line="360" w:lineRule="auto"/>
        <w:widowControl/>
        <w:rPr>
          <w:rStyle w:val="1085"/>
          <w:rFonts w:ascii="宋体" w:hAnsi="宋体" w:cs="宋体"/>
          <w:b w:val="0"/>
          <w:color w:val="000000"/>
          <w:sz w:val="24"/>
          <w:highlight w:val="none"/>
        </w:rPr>
      </w:pPr>
      <w:r>
        <w:rPr>
          <w:rStyle w:val="1085"/>
          <w:rFonts w:hint="eastAsia" w:ascii="宋体" w:hAnsi="宋体" w:cs="宋体"/>
          <w:b w:val="0"/>
          <w:color w:val="000000"/>
          <w:sz w:val="24"/>
          <w:highlight w:val="none"/>
        </w:rPr>
        <w:t xml:space="preserve">统一社会信用代码：123204004672884078</w:t>
      </w:r>
      <w:r>
        <w:rPr>
          <w:rStyle w:val="1085"/>
          <w:rFonts w:ascii="宋体" w:hAnsi="宋体" w:cs="宋体"/>
          <w:b w:val="0"/>
          <w:color w:val="000000"/>
          <w:sz w:val="24"/>
          <w:highlight w:val="none"/>
        </w:rPr>
      </w:r>
      <w:r/>
    </w:p>
    <w:p>
      <w:pPr>
        <w:pStyle w:val="1005"/>
        <w:jc w:val="left"/>
        <w:spacing w:line="360" w:lineRule="auto"/>
        <w:widowControl/>
        <w:rPr>
          <w:rStyle w:val="1085"/>
          <w:rFonts w:ascii="宋体" w:hAnsi="宋体" w:cs="宋体"/>
          <w:b w:val="0"/>
          <w:color w:val="000000"/>
          <w:sz w:val="24"/>
          <w:highlight w:val="none"/>
        </w:rPr>
      </w:pPr>
      <w:r>
        <w:rPr>
          <w:rStyle w:val="1085"/>
          <w:rFonts w:ascii="宋体" w:hAnsi="宋体" w:cs="宋体"/>
          <w:b w:val="0"/>
          <w:color w:val="000000"/>
          <w:sz w:val="24"/>
          <w:highlight w:val="none"/>
        </w:rPr>
      </w:r>
      <w:r/>
    </w:p>
    <w:p>
      <w:pPr>
        <w:pStyle w:val="1005"/>
        <w:jc w:val="left"/>
        <w:spacing w:line="360" w:lineRule="auto"/>
        <w:widowControl/>
        <w:rPr>
          <w:rStyle w:val="1085"/>
          <w:rFonts w:ascii="宋体" w:hAnsi="宋体" w:cs="宋体"/>
          <w:b w:val="0"/>
          <w:color w:val="000000"/>
          <w:sz w:val="24"/>
          <w:highlight w:val="none"/>
        </w:rPr>
      </w:pPr>
      <w:r>
        <w:rPr>
          <w:rStyle w:val="1085"/>
          <w:rFonts w:hint="eastAsia" w:ascii="宋体" w:hAnsi="宋体" w:cs="宋体"/>
          <w:b w:val="0"/>
          <w:color w:val="000000"/>
          <w:sz w:val="24"/>
          <w:highlight w:val="none"/>
        </w:rPr>
        <w:t xml:space="preserve">乙方(承揽人）： </w:t>
      </w:r>
      <w:r>
        <w:rPr>
          <w:rStyle w:val="1085"/>
          <w:rFonts w:ascii="宋体" w:hAnsi="宋体" w:cs="宋体"/>
          <w:b w:val="0"/>
          <w:color w:val="000000"/>
          <w:sz w:val="24"/>
          <w:highlight w:val="none"/>
        </w:rPr>
      </w:r>
      <w:r/>
    </w:p>
    <w:p>
      <w:pPr>
        <w:pStyle w:val="1005"/>
        <w:jc w:val="left"/>
        <w:spacing w:line="360" w:lineRule="auto"/>
        <w:widowControl/>
        <w:rPr>
          <w:rStyle w:val="1085"/>
          <w:rFonts w:ascii="宋体" w:hAnsi="宋体" w:cs="宋体"/>
          <w:b w:val="0"/>
          <w:color w:val="000000"/>
          <w:sz w:val="24"/>
          <w:highlight w:val="none"/>
        </w:rPr>
      </w:pPr>
      <w:r>
        <w:rPr>
          <w:rStyle w:val="1085"/>
          <w:rFonts w:hint="eastAsia" w:ascii="宋体" w:hAnsi="宋体" w:cs="宋体"/>
          <w:b w:val="0"/>
          <w:color w:val="000000"/>
          <w:sz w:val="24"/>
          <w:highlight w:val="none"/>
        </w:rPr>
        <w:t xml:space="preserve">住所地： </w:t>
      </w:r>
      <w:r>
        <w:rPr>
          <w:rStyle w:val="1085"/>
          <w:rFonts w:ascii="宋体" w:hAnsi="宋体" w:cs="宋体"/>
          <w:b w:val="0"/>
          <w:color w:val="000000"/>
          <w:sz w:val="24"/>
          <w:highlight w:val="none"/>
        </w:rPr>
      </w:r>
      <w:r/>
    </w:p>
    <w:p>
      <w:pPr>
        <w:pStyle w:val="1005"/>
        <w:jc w:val="left"/>
        <w:spacing w:line="360" w:lineRule="auto"/>
        <w:widowControl/>
        <w:rPr>
          <w:rStyle w:val="1085"/>
          <w:rFonts w:ascii="宋体" w:hAnsi="宋体" w:cs="宋体"/>
          <w:b w:val="0"/>
          <w:color w:val="000000"/>
          <w:sz w:val="24"/>
          <w:highlight w:val="none"/>
        </w:rPr>
      </w:pPr>
      <w:r>
        <w:rPr>
          <w:rStyle w:val="1085"/>
          <w:rFonts w:hint="eastAsia" w:ascii="宋体" w:hAnsi="宋体" w:cs="宋体"/>
          <w:b w:val="0"/>
          <w:color w:val="000000"/>
          <w:sz w:val="24"/>
          <w:highlight w:val="none"/>
        </w:rPr>
        <w:t xml:space="preserve">法定代表人： </w:t>
      </w:r>
      <w:r>
        <w:rPr>
          <w:rStyle w:val="1085"/>
          <w:rFonts w:ascii="宋体" w:hAnsi="宋体" w:cs="宋体"/>
          <w:b w:val="0"/>
          <w:color w:val="000000"/>
          <w:sz w:val="24"/>
          <w:highlight w:val="none"/>
        </w:rPr>
      </w:r>
      <w:r/>
    </w:p>
    <w:p>
      <w:pPr>
        <w:pStyle w:val="1005"/>
        <w:jc w:val="left"/>
        <w:spacing w:line="360" w:lineRule="auto"/>
        <w:widowControl/>
        <w:rPr>
          <w:rStyle w:val="1085"/>
          <w:rFonts w:ascii="宋体" w:hAnsi="宋体" w:cs="宋体"/>
          <w:b w:val="0"/>
          <w:color w:val="000000"/>
          <w:sz w:val="24"/>
          <w:highlight w:val="none"/>
        </w:rPr>
      </w:pPr>
      <w:r>
        <w:rPr>
          <w:rStyle w:val="1085"/>
          <w:rFonts w:hint="eastAsia" w:ascii="宋体" w:hAnsi="宋体" w:cs="宋体"/>
          <w:b w:val="0"/>
          <w:color w:val="000000"/>
          <w:sz w:val="24"/>
          <w:highlight w:val="none"/>
        </w:rPr>
        <w:t xml:space="preserve">统一社会信用代码：</w:t>
      </w:r>
      <w:r>
        <w:rPr>
          <w:rStyle w:val="1085"/>
          <w:rFonts w:ascii="宋体" w:hAnsi="宋体" w:cs="宋体"/>
          <w:b w:val="0"/>
          <w:color w:val="000000"/>
          <w:sz w:val="24"/>
          <w:highlight w:val="none"/>
        </w:rPr>
      </w:r>
      <w:r/>
    </w:p>
    <w:p>
      <w:pPr>
        <w:pStyle w:val="1005"/>
        <w:ind w:firstLine="480"/>
        <w:jc w:val="left"/>
        <w:spacing w:line="360" w:lineRule="auto"/>
        <w:widowControl/>
        <w:rPr>
          <w:rStyle w:val="1085"/>
          <w:b w:val="0"/>
          <w:color w:val="000000"/>
          <w:sz w:val="24"/>
          <w:highlight w:val="none"/>
        </w:rPr>
      </w:pPr>
      <w:r>
        <w:rPr>
          <w:rStyle w:val="1085"/>
          <w:b w:val="0"/>
          <w:color w:val="000000"/>
          <w:sz w:val="24"/>
          <w:highlight w:val="none"/>
        </w:rPr>
      </w:r>
      <w:r/>
    </w:p>
    <w:p>
      <w:pPr>
        <w:pStyle w:val="1005"/>
        <w:ind w:firstLine="480"/>
        <w:jc w:val="left"/>
        <w:spacing w:line="360" w:lineRule="auto"/>
        <w:widowControl/>
        <w:rPr>
          <w:rStyle w:val="1085"/>
          <w:b w:val="0"/>
          <w:color w:val="000000"/>
          <w:sz w:val="24"/>
          <w:highlight w:val="none"/>
        </w:rPr>
      </w:pPr>
      <w:r>
        <w:rPr>
          <w:rStyle w:val="1085"/>
          <w:rFonts w:hint="eastAsia"/>
          <w:b w:val="0"/>
          <w:color w:val="000000"/>
          <w:sz w:val="24"/>
          <w:highlight w:val="none"/>
        </w:rPr>
        <w:t xml:space="preserve">根据《中华人民共和国政府采购法》、《中华人民共和国民法典》等法律法规的规定，甲乙双方协商一致，签订本合同。</w:t>
      </w:r>
      <w:r>
        <w:rPr>
          <w:rStyle w:val="1085"/>
          <w:b w:val="0"/>
          <w:color w:val="000000"/>
          <w:sz w:val="24"/>
          <w:highlight w:val="none"/>
        </w:rPr>
      </w:r>
      <w:r/>
    </w:p>
    <w:p>
      <w:pPr>
        <w:pStyle w:val="1005"/>
        <w:ind w:left="482"/>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rPr>
        <w:t xml:space="preserve">第一条  项目概况</w:t>
      </w:r>
      <w:r>
        <w:rPr>
          <w:rFonts w:ascii="宋体" w:hAnsi="宋体" w:cs="宋体"/>
          <w:color w:val="000000"/>
          <w:sz w:val="24"/>
          <w:highlight w:val="none"/>
        </w:rPr>
      </w:r>
      <w:r/>
    </w:p>
    <w:p>
      <w:pPr>
        <w:pStyle w:val="10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2026年度净水站运维社会化服务</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10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2.项目地点：</w:t>
      </w:r>
      <w:r>
        <w:rPr>
          <w:rFonts w:hint="eastAsia" w:ascii="宋体" w:hAnsi="宋体" w:cs="宋体"/>
          <w:color w:val="000000"/>
          <w:sz w:val="24"/>
          <w:highlight w:val="none"/>
          <w:u w:val="single"/>
        </w:rPr>
        <w:t xml:space="preserve">五星、双桥、章家浜、三宝浜、广化桥、椿桂园、青山绿地7座净水站所在地。</w:t>
      </w:r>
      <w:r>
        <w:rPr>
          <w:rFonts w:ascii="宋体" w:hAnsi="宋体" w:cs="宋体"/>
          <w:color w:val="000000"/>
          <w:sz w:val="24"/>
          <w:highlight w:val="none"/>
        </w:rPr>
      </w:r>
      <w:r/>
    </w:p>
    <w:p>
      <w:pPr>
        <w:pStyle w:val="10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3.服务范围：</w:t>
      </w:r>
      <w:r>
        <w:rPr>
          <w:rFonts w:hint="eastAsia" w:ascii="宋体" w:hAnsi="宋体" w:cs="宋体"/>
          <w:color w:val="000000"/>
          <w:sz w:val="24"/>
          <w:highlight w:val="none"/>
          <w:u w:val="single"/>
        </w:rPr>
        <w:t xml:space="preserve">见采购文件</w:t>
      </w:r>
      <w:r>
        <w:rPr>
          <w:rFonts w:ascii="宋体" w:hAnsi="宋体" w:cs="宋体"/>
          <w:color w:val="000000"/>
          <w:sz w:val="24"/>
          <w:highlight w:val="none"/>
        </w:rPr>
      </w:r>
      <w:r/>
    </w:p>
    <w:p>
      <w:pPr>
        <w:pStyle w:val="10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4.服务期限：自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日至</w:t>
      </w:r>
      <w:r>
        <w:rPr>
          <w:rFonts w:hint="eastAsia" w:ascii="宋体" w:hAnsi="宋体" w:cs="宋体"/>
          <w:color w:val="000000"/>
          <w:sz w:val="24"/>
          <w:highlight w:val="none"/>
          <w:u w:val="single"/>
        </w:rPr>
        <w:t xml:space="preserve">2026</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11</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10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5.服务要求：见附件1。</w:t>
      </w:r>
      <w:r>
        <w:rPr>
          <w:rFonts w:ascii="宋体" w:hAnsi="宋体" w:cs="宋体"/>
          <w:color w:val="000000"/>
          <w:sz w:val="24"/>
          <w:highlight w:val="none"/>
        </w:rPr>
      </w:r>
      <w:r/>
    </w:p>
    <w:p>
      <w:pPr>
        <w:pStyle w:val="1005"/>
        <w:ind w:firstLine="482"/>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第二条  合同文件组成</w:t>
      </w:r>
      <w:r>
        <w:rPr>
          <w:rFonts w:ascii="宋体" w:hAnsi="宋体" w:cs="宋体"/>
          <w:b/>
          <w:color w:val="000000"/>
          <w:sz w:val="24"/>
          <w:highlight w:val="none"/>
        </w:rPr>
      </w:r>
      <w:r/>
    </w:p>
    <w:p>
      <w:pPr>
        <w:pStyle w:val="10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1.合同相关的补充协议；</w:t>
      </w:r>
      <w:r>
        <w:rPr>
          <w:rFonts w:ascii="宋体" w:hAnsi="宋体" w:cs="宋体"/>
          <w:color w:val="000000"/>
          <w:sz w:val="24"/>
          <w:highlight w:val="none"/>
        </w:rPr>
      </w:r>
      <w:r/>
    </w:p>
    <w:p>
      <w:pPr>
        <w:pStyle w:val="10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2.本合同协议书；</w:t>
      </w:r>
      <w:r>
        <w:rPr>
          <w:rFonts w:ascii="宋体" w:hAnsi="宋体" w:cs="宋体"/>
          <w:color w:val="000000"/>
          <w:sz w:val="24"/>
          <w:highlight w:val="none"/>
        </w:rPr>
      </w:r>
      <w:r/>
    </w:p>
    <w:p>
      <w:pPr>
        <w:pStyle w:val="10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3.中标通知书；</w:t>
      </w:r>
      <w:r>
        <w:rPr>
          <w:rFonts w:ascii="宋体" w:hAnsi="宋体" w:cs="宋体"/>
          <w:color w:val="000000"/>
          <w:sz w:val="24"/>
          <w:highlight w:val="none"/>
        </w:rPr>
      </w:r>
      <w:r/>
    </w:p>
    <w:p>
      <w:pPr>
        <w:pStyle w:val="10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4.招标文件及相关说明；</w:t>
      </w:r>
      <w:r>
        <w:rPr>
          <w:rFonts w:ascii="宋体" w:hAnsi="宋体" w:cs="宋体"/>
          <w:color w:val="000000"/>
          <w:sz w:val="24"/>
          <w:highlight w:val="none"/>
        </w:rPr>
      </w:r>
      <w:r/>
    </w:p>
    <w:p>
      <w:pPr>
        <w:pStyle w:val="10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5.投标文件及相关说明；</w:t>
      </w:r>
      <w:r>
        <w:rPr>
          <w:rFonts w:ascii="宋体" w:hAnsi="宋体" w:cs="宋体"/>
          <w:color w:val="000000"/>
          <w:sz w:val="24"/>
          <w:highlight w:val="none"/>
        </w:rPr>
      </w:r>
      <w:r/>
    </w:p>
    <w:p>
      <w:pPr>
        <w:pStyle w:val="10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6.乙方在招投标过程中所作的其它承诺、声明、书面澄清等。</w:t>
      </w:r>
      <w:r>
        <w:rPr>
          <w:rFonts w:ascii="宋体" w:hAnsi="宋体" w:cs="宋体"/>
          <w:color w:val="000000"/>
          <w:sz w:val="24"/>
          <w:highlight w:val="none"/>
        </w:rPr>
      </w:r>
      <w:r/>
    </w:p>
    <w:p>
      <w:pPr>
        <w:pStyle w:val="10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当合同文件出现含糊不清或不相一致，按以上优先顺序进行解释。</w:t>
      </w:r>
      <w:r>
        <w:rPr>
          <w:rFonts w:ascii="宋体" w:hAnsi="宋体" w:cs="宋体"/>
          <w:color w:val="000000"/>
          <w:sz w:val="24"/>
          <w:highlight w:val="none"/>
        </w:rPr>
      </w:r>
      <w:r/>
    </w:p>
    <w:p>
      <w:pPr>
        <w:pStyle w:val="1005"/>
        <w:ind w:firstLine="482"/>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第三条  履约保证金</w:t>
      </w:r>
      <w:r>
        <w:rPr>
          <w:rFonts w:ascii="宋体" w:hAnsi="宋体" w:cs="宋体"/>
          <w:b/>
          <w:color w:val="000000"/>
          <w:sz w:val="24"/>
          <w:highlight w:val="none"/>
        </w:rPr>
      </w:r>
      <w:r/>
    </w:p>
    <w:p>
      <w:pPr>
        <w:pStyle w:val="10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1.乙方应在收到中标通知书后7日内、签订合同前，向甲方提交</w:t>
      </w:r>
      <w:r>
        <w:rPr>
          <w:rFonts w:hint="eastAsia" w:ascii="宋体" w:hAnsi="宋体" w:cs="宋体"/>
          <w:color w:val="000000"/>
          <w:sz w:val="24"/>
          <w:highlight w:val="none"/>
        </w:rPr>
        <w:t xml:space="preserve">履约保证金（合同年度预算金额的5%）</w:t>
      </w:r>
      <w:r>
        <w:rPr>
          <w:rFonts w:hint="eastAsia" w:ascii="宋体" w:hAnsi="宋体" w:cs="宋体"/>
          <w:color w:val="000000"/>
          <w:sz w:val="24"/>
          <w:highlight w:val="none"/>
        </w:rPr>
        <w:t xml:space="preserve">_________元（大写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2.履约保证金以向甲方银行账户转账或提交银行履约保函的形式提交。若履约保证金以向甲方银行账户转账的形式提交，甲方账户如下：</w:t>
      </w:r>
      <w:r>
        <w:rPr>
          <w:rFonts w:ascii="宋体" w:hAnsi="宋体" w:cs="宋体"/>
          <w:color w:val="000000"/>
          <w:sz w:val="24"/>
          <w:highlight w:val="none"/>
        </w:rPr>
      </w:r>
      <w:r/>
    </w:p>
    <w:p>
      <w:pPr>
        <w:pStyle w:val="10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账户名：常州市财政局，开户银行：建行常州分行营业部，账号：32001629101052500075。</w:t>
      </w:r>
      <w:r>
        <w:rPr>
          <w:rFonts w:ascii="宋体" w:hAnsi="宋体" w:cs="宋体"/>
          <w:color w:val="000000"/>
          <w:sz w:val="24"/>
          <w:highlight w:val="none"/>
        </w:rPr>
      </w:r>
      <w:r/>
    </w:p>
    <w:p>
      <w:pPr>
        <w:pStyle w:val="10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3.若乙方未能履行合同规定的义务，甲方有权直接从履约保证金中扣除相当于乙方应支付之违约金及赔偿金的数额，不足部分由乙方另行补足。</w:t>
      </w:r>
      <w:r>
        <w:rPr>
          <w:rFonts w:ascii="宋体" w:hAnsi="宋体" w:cs="宋体"/>
          <w:color w:val="000000"/>
          <w:sz w:val="24"/>
          <w:highlight w:val="none"/>
        </w:rPr>
      </w:r>
      <w:r/>
    </w:p>
    <w:p>
      <w:pPr>
        <w:pStyle w:val="10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4.合同期满或提前终止，且甲方确认乙方已按约定完成交接，无任何未结清的违约金、赔偿金及其他款项后，甲方应在15个工作日内将履约保证金（如有余额）无息退还乙方。</w:t>
      </w:r>
      <w:r>
        <w:rPr>
          <w:rFonts w:ascii="宋体" w:hAnsi="宋体" w:cs="宋体"/>
          <w:color w:val="000000"/>
          <w:sz w:val="24"/>
          <w:highlight w:val="none"/>
        </w:rPr>
      </w:r>
      <w:r/>
    </w:p>
    <w:p>
      <w:pPr>
        <w:pStyle w:val="1005"/>
        <w:ind w:firstLine="482"/>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第四条 合同价款与支付</w:t>
      </w:r>
      <w:r>
        <w:rPr>
          <w:rFonts w:ascii="宋体" w:hAnsi="宋体" w:cs="宋体"/>
          <w:b/>
          <w:color w:val="000000"/>
          <w:sz w:val="24"/>
          <w:highlight w:val="none"/>
        </w:rPr>
      </w:r>
      <w:r/>
    </w:p>
    <w:p>
      <w:pPr>
        <w:pStyle w:val="100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1.合同价款</w:t>
      </w:r>
      <w:r>
        <w:rPr>
          <w:rFonts w:hint="eastAsia" w:ascii="宋体" w:hAnsi="宋体" w:cs="宋体"/>
          <w:color w:val="000000"/>
          <w:sz w:val="24"/>
          <w:highlight w:val="none"/>
        </w:rPr>
      </w:r>
      <w:r/>
    </w:p>
    <w:p>
      <w:pPr>
        <w:pStyle w:val="1037"/>
        <w:ind w:firstLine="480"/>
        <w:spacing w:before="0" w:line="360" w:lineRule="auto"/>
        <w:tabs>
          <w:tab w:val="left" w:pos="567" w:leader="none"/>
        </w:tabs>
        <w:rPr>
          <w:rFonts w:cs="宋体"/>
          <w:color w:val="000000"/>
          <w:szCs w:val="21"/>
          <w:highlight w:val="none"/>
        </w:rPr>
      </w:pPr>
      <w:r>
        <w:rPr>
          <w:rFonts w:hint="eastAsia" w:cs="宋体"/>
          <w:color w:val="000000"/>
          <w:szCs w:val="21"/>
          <w:highlight w:val="none"/>
        </w:rPr>
        <w:t xml:space="preserve">本合同采用吨水单价计费方式，其中超磁工艺净水站单价为</w:t>
      </w:r>
      <w:r>
        <w:rPr>
          <w:rFonts w:hint="eastAsia" w:cs="宋体"/>
          <w:color w:val="000000"/>
          <w:szCs w:val="21"/>
          <w:highlight w:val="none"/>
          <w:u w:val="single"/>
        </w:rPr>
        <w:t xml:space="preserve">     </w:t>
      </w:r>
      <w:r>
        <w:rPr>
          <w:rFonts w:hint="eastAsia" w:cs="宋体"/>
          <w:color w:val="000000"/>
          <w:szCs w:val="21"/>
          <w:highlight w:val="none"/>
        </w:rPr>
        <w:t xml:space="preserve">元/吨，混凝工艺与气浮工艺单价均为</w:t>
      </w:r>
      <w:r>
        <w:rPr>
          <w:rFonts w:hint="eastAsia" w:cs="宋体"/>
          <w:color w:val="000000"/>
          <w:szCs w:val="21"/>
          <w:highlight w:val="none"/>
          <w:u w:val="single"/>
        </w:rPr>
        <w:t xml:space="preserve">     </w:t>
      </w:r>
      <w:r>
        <w:rPr>
          <w:rFonts w:hint="eastAsia" w:cs="宋体"/>
          <w:color w:val="000000"/>
          <w:szCs w:val="21"/>
          <w:highlight w:val="none"/>
        </w:rPr>
        <w:t xml:space="preserve">元/吨，按实结算。本合同预算为</w:t>
      </w:r>
      <w:r>
        <w:rPr>
          <w:rFonts w:hint="eastAsia" w:cs="宋体"/>
          <w:color w:val="000000"/>
          <w:szCs w:val="21"/>
          <w:highlight w:val="none"/>
          <w:u w:val="single"/>
        </w:rPr>
        <w:t xml:space="preserve"> </w:t>
      </w:r>
      <w:r>
        <w:rPr>
          <w:rFonts w:hint="eastAsia" w:cs="宋体"/>
          <w:color w:val="000000"/>
          <w:szCs w:val="21"/>
          <w:highlight w:val="none"/>
          <w:u w:val="single"/>
          <w:lang w:eastAsia="zh-CN"/>
        </w:rPr>
        <w:t xml:space="preserve">297.0708</w:t>
      </w:r>
      <w:r>
        <w:rPr>
          <w:rFonts w:hint="eastAsia" w:cs="宋体"/>
          <w:color w:val="000000"/>
          <w:szCs w:val="21"/>
          <w:highlight w:val="none"/>
          <w:u w:val="single"/>
        </w:rPr>
        <w:t xml:space="preserve"> </w:t>
      </w:r>
      <w:r>
        <w:rPr>
          <w:rFonts w:hint="eastAsia" w:cs="宋体"/>
          <w:color w:val="000000"/>
          <w:szCs w:val="21"/>
          <w:highlight w:val="none"/>
        </w:rPr>
        <w:t xml:space="preserve">万元/年。本合同价款包括提供本服务所需的人工、材料、设备、运输、安全、保险、税金等全部费用，执行期间吨水单价不作调整。</w:t>
      </w:r>
      <w:r>
        <w:rPr>
          <w:rFonts w:cs="宋体"/>
          <w:color w:val="000000"/>
          <w:szCs w:val="21"/>
          <w:highlight w:val="none"/>
        </w:rPr>
      </w:r>
      <w:r/>
    </w:p>
    <w:p>
      <w:pPr>
        <w:pStyle w:val="100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2.价款支付</w:t>
      </w:r>
      <w:r>
        <w:rPr>
          <w:rFonts w:hint="eastAsia" w:ascii="宋体" w:hAnsi="宋体" w:cs="宋体"/>
          <w:color w:val="000000"/>
          <w:sz w:val="24"/>
          <w:highlight w:val="none"/>
        </w:rPr>
      </w:r>
      <w:r/>
    </w:p>
    <w:p>
      <w:pPr>
        <w:pStyle w:val="100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甲方每月根据本合同附件2《服务项目月度考核表》对乙方上月工作进行考核，根据考核结果每两个月进行一次结算。</w:t>
      </w:r>
      <w:r>
        <w:rPr>
          <w:rFonts w:hint="eastAsia" w:ascii="宋体" w:hAnsi="宋体" w:cs="宋体"/>
          <w:color w:val="000000"/>
          <w:sz w:val="24"/>
          <w:highlight w:val="none"/>
        </w:rPr>
      </w:r>
      <w:r/>
    </w:p>
    <w:p>
      <w:pPr>
        <w:pStyle w:val="1403"/>
        <w:ind w:firstLine="482"/>
        <w:spacing w:before="0" w:beforeAutospacing="0" w:after="0" w:afterAutospacing="0" w:line="360" w:lineRule="auto"/>
        <w:shd w:val="clear" w:color="auto" w:fill="ffffff"/>
        <w:rPr>
          <w:color w:val="000000"/>
          <w:highlight w:val="none"/>
        </w:rPr>
      </w:pPr>
      <w:r>
        <w:rPr>
          <w:rStyle w:val="1085"/>
          <w:rFonts w:hint="eastAsia"/>
          <w:color w:val="000000"/>
          <w:highlight w:val="none"/>
        </w:rPr>
        <w:t xml:space="preserve">第五条  甲方的权利与义务</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1.甲方的权利</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（1）甲方有权依据采购文件、合同等约定的作业要求与考核标准，对乙方的服务进行检查、监督与考核。</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（2）甲方有权根据业务发展或运营优化需要，对净水站的运行模式及乙方工作内容等进行合理调整，修改、细化作业要求与考核实施细则，相关文件经书面形式送达乙方后，即构成本合同不可分割的一部分。</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（3）当乙方的作业进度或质量未能满足合同要求时，甲方有权要求乙方采取增加作业人员数量、调换不合格人员、安排作业人员参加必要的技能培训等措施。</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（4）甲方有权要求乙方更换其派遣的不满足甲方作业要求的任何作业人员。</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（5）甲方有权要求乙方提供项目人员的社保缴纳证明、银行代发工资记录等用工合规性证明文件，乙方不得拒绝。</w:t>
      </w:r>
      <w:r>
        <w:rPr>
          <w:color w:val="000000"/>
          <w:highlight w:val="none"/>
        </w:rPr>
      </w:r>
      <w:r/>
    </w:p>
    <w:p>
      <w:pPr>
        <w:pStyle w:val="1403"/>
        <w:ind w:firstLine="480"/>
        <w:spacing w:before="0" w:beforeAutospacing="0" w:after="0" w:afterAutospacing="0" w:line="360" w:lineRule="auto"/>
        <w:shd w:val="clear" w:color="auto" w:fill="ffffff"/>
        <w:rPr>
          <w:b/>
          <w:color w:val="000000"/>
          <w:highlight w:val="none"/>
        </w:rPr>
      </w:pPr>
      <w:r>
        <w:rPr>
          <w:rStyle w:val="1085"/>
          <w:rFonts w:hint="eastAsia"/>
          <w:b w:val="0"/>
          <w:color w:val="000000"/>
          <w:highlight w:val="none"/>
        </w:rPr>
        <w:t xml:space="preserve">2.甲方的义务</w:t>
      </w:r>
      <w:r>
        <w:rPr>
          <w:b/>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（1）甲方应将工作范围、作业内容、工作量及相关技术信息告知乙方。</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（2）甲方应为乙方养护作业提供必要的现场交底、信息支持等。</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（3）甲方应按规定向乙方支付经考核确认的服务费用。</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（4）如因城市规划调整、重大政策变化或政府指令性重大活动导致服务内容、范围或时间发生重大变更，甲方应提前通知乙方，双方可就变更内容协商签订补充协议。</w:t>
      </w:r>
      <w:r>
        <w:rPr>
          <w:color w:val="000000"/>
          <w:highlight w:val="none"/>
        </w:rPr>
      </w:r>
      <w:r/>
    </w:p>
    <w:p>
      <w:pPr>
        <w:pStyle w:val="1403"/>
        <w:ind w:firstLine="482"/>
        <w:spacing w:before="0" w:beforeAutospacing="0" w:after="0" w:afterAutospacing="0" w:line="360" w:lineRule="auto"/>
        <w:shd w:val="clear" w:color="auto" w:fill="ffffff"/>
        <w:rPr>
          <w:color w:val="000000"/>
          <w:highlight w:val="none"/>
        </w:rPr>
      </w:pPr>
      <w:r>
        <w:rPr>
          <w:rStyle w:val="1085"/>
          <w:rFonts w:hint="eastAsia"/>
          <w:color w:val="000000"/>
          <w:highlight w:val="none"/>
        </w:rPr>
        <w:t xml:space="preserve">第六条  乙方的权利与义务</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1.乙方的权利</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（1）乙方有权就合同范围内的服务内容，向甲方提出合理化建议和意见。</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（2）乙方有权拒绝甲方提出的违背法律法规、技术规范、安全作业规定的指令和要求。</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（3）乙方有权就甲方工作人员的不正当要求、违规行为等，向甲方的纪检监察部门或上级主管部门进行投诉。</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（4）乙方发现任何组织或个人的行为对城市排水设施的安全、稳定运行可能造成不利影响时，有权进行劝阻、制止，并立即报告甲方。</w:t>
      </w:r>
      <w:r>
        <w:rPr>
          <w:color w:val="000000"/>
          <w:highlight w:val="none"/>
        </w:rPr>
      </w:r>
      <w:r/>
    </w:p>
    <w:p>
      <w:pPr>
        <w:pStyle w:val="1403"/>
        <w:ind w:firstLine="480"/>
        <w:spacing w:before="0" w:beforeAutospacing="0" w:after="0" w:afterAutospacing="0" w:line="360" w:lineRule="auto"/>
        <w:shd w:val="clear" w:color="auto" w:fill="ffffff"/>
        <w:rPr>
          <w:b/>
          <w:color w:val="000000"/>
          <w:highlight w:val="none"/>
        </w:rPr>
      </w:pPr>
      <w:r>
        <w:rPr>
          <w:rStyle w:val="1085"/>
          <w:rFonts w:hint="eastAsia"/>
          <w:b w:val="0"/>
          <w:color w:val="000000"/>
          <w:highlight w:val="none"/>
        </w:rPr>
        <w:t xml:space="preserve">2.乙方的义务</w:t>
      </w:r>
      <w:r>
        <w:rPr>
          <w:b/>
          <w:color w:val="000000"/>
          <w:highlight w:val="none"/>
        </w:rPr>
      </w:r>
      <w:r/>
    </w:p>
    <w:p>
      <w:pPr>
        <w:pStyle w:val="1403"/>
        <w:ind w:firstLine="480"/>
        <w:spacing w:before="0" w:beforeAutospacing="0" w:after="0" w:afterAutospacing="0" w:line="360" w:lineRule="auto"/>
        <w:shd w:val="clear" w:color="auto" w:fill="ffffff"/>
        <w:rPr>
          <w:rStyle w:val="1085"/>
          <w:b w:val="0"/>
          <w:color w:val="000000"/>
          <w:highlight w:val="none"/>
        </w:rPr>
      </w:pPr>
      <w:r>
        <w:rPr>
          <w:rFonts w:hint="eastAsia"/>
          <w:color w:val="000000"/>
          <w:highlight w:val="none"/>
        </w:rPr>
        <w:t xml:space="preserve">（1）</w:t>
      </w:r>
      <w:r>
        <w:rPr>
          <w:rStyle w:val="1085"/>
          <w:rFonts w:hint="eastAsia"/>
          <w:b w:val="0"/>
          <w:color w:val="000000"/>
          <w:highlight w:val="none"/>
        </w:rPr>
        <w:t xml:space="preserve">资质与能力保证</w:t>
      </w:r>
      <w:r>
        <w:rPr>
          <w:rStyle w:val="1085"/>
          <w:b w:val="0"/>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乙方保证自身持续具备履行本合同所必需的营业执照、资质、许可证、技术能力、设备设施和专业人员队伍。本项目主体业务不得分包，如需分包非主体业务，须事先获得甲方书面同意，并确保分包商具备相应资质和能力，乙方对分包商的行为承担连带责任。</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如乙方违法转包，或分包行为不符合本合同约定，乙方派出的实际提供服务（作业、施工）人对甲方提起诉讼的，乙方承担由此导致甲方负担的经济费用，包括但不限于支付合同款项、工作人员误工费、经济损失赔偿、诉讼费用等。</w:t>
      </w:r>
      <w:r>
        <w:rPr>
          <w:color w:val="000000"/>
          <w:highlight w:val="none"/>
        </w:rPr>
      </w:r>
      <w:r/>
    </w:p>
    <w:p>
      <w:pPr>
        <w:pStyle w:val="1403"/>
        <w:ind w:firstLine="480"/>
        <w:spacing w:before="0" w:beforeAutospacing="0" w:after="0" w:afterAutospacing="0" w:line="360" w:lineRule="auto"/>
        <w:shd w:val="clear" w:color="auto" w:fill="ffffff"/>
        <w:rPr>
          <w:b/>
          <w:color w:val="000000"/>
          <w:highlight w:val="none"/>
        </w:rPr>
      </w:pPr>
      <w:r>
        <w:rPr>
          <w:rFonts w:hint="eastAsia"/>
          <w:color w:val="000000"/>
          <w:highlight w:val="none"/>
        </w:rPr>
        <w:t xml:space="preserve">（2）</w:t>
      </w:r>
      <w:r>
        <w:rPr>
          <w:rStyle w:val="1085"/>
          <w:rFonts w:hint="eastAsia"/>
          <w:b w:val="0"/>
          <w:color w:val="000000"/>
          <w:highlight w:val="none"/>
        </w:rPr>
        <w:t xml:space="preserve">人员管理与培训</w:t>
      </w:r>
      <w:r>
        <w:rPr>
          <w:b/>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乙方应按照合同和招投标文件，足额配备具备相应资格的项目管理人员和作业人员，并确保人员相对稳定。人员为项目正常开展所需的基本保障，后续根据工作内容及事项变化情况，人员应配合甲方进行调整变化。</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项目经理等核心人员未经甲方书面批准不得更换。确需更换的，应提前10个工作日向甲方提交书面申请及继任人选资格材料，经甲方审核同意后方可更换。</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乙方应自行建立完善的内部培训体系，定期对员工进行技能、安全、操作规程及应急处理培训，自行保存培训记录。员工经考核合格后方可上岗。</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（3）</w:t>
      </w:r>
      <w:r>
        <w:rPr>
          <w:rStyle w:val="1085"/>
          <w:rFonts w:hint="eastAsia"/>
          <w:b w:val="0"/>
          <w:color w:val="000000"/>
          <w:highlight w:val="none"/>
        </w:rPr>
        <w:t xml:space="preserve">乙方应建立、保存台帐，及时向甲方报告管理区域内的服务事项</w:t>
      </w:r>
      <w:r>
        <w:rPr>
          <w:rFonts w:hint="eastAsia"/>
          <w:color w:val="000000"/>
          <w:highlight w:val="none"/>
        </w:rPr>
        <w:t xml:space="preserve">。</w:t>
      </w:r>
      <w:r>
        <w:rPr>
          <w:color w:val="000000"/>
          <w:highlight w:val="none"/>
        </w:rPr>
      </w:r>
      <w:r/>
    </w:p>
    <w:p>
      <w:pPr>
        <w:pStyle w:val="1403"/>
        <w:ind w:firstLine="480"/>
        <w:spacing w:before="0" w:beforeAutospacing="0" w:after="0" w:afterAutospacing="0" w:line="360" w:lineRule="auto"/>
        <w:shd w:val="clear" w:color="auto" w:fill="ffffff"/>
        <w:rPr>
          <w:rStyle w:val="1085"/>
          <w:b w:val="0"/>
          <w:color w:val="000000"/>
          <w:highlight w:val="none"/>
        </w:rPr>
      </w:pPr>
      <w:r>
        <w:rPr>
          <w:rFonts w:hint="eastAsia"/>
          <w:color w:val="000000"/>
          <w:highlight w:val="none"/>
        </w:rPr>
        <w:t xml:space="preserve">（4）</w:t>
      </w:r>
      <w:r>
        <w:rPr>
          <w:rStyle w:val="1085"/>
          <w:rFonts w:hint="eastAsia"/>
          <w:b w:val="0"/>
          <w:color w:val="000000"/>
          <w:highlight w:val="none"/>
        </w:rPr>
        <w:t xml:space="preserve">保密义务</w:t>
      </w:r>
      <w:r>
        <w:rPr>
          <w:rStyle w:val="1085"/>
          <w:b w:val="0"/>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乙方应对服务过程中获知的甲方所有技术资料、业务数据、工作秘密及其他未公开信息予以严格保密，未经甲方书面同意，不得向任何第三方披露或用于本合同以外的目的。服务终止后，应按甲方要求归还或销毁所有涉密资料。</w:t>
      </w:r>
      <w:r>
        <w:rPr>
          <w:color w:val="000000"/>
          <w:highlight w:val="none"/>
        </w:rPr>
      </w:r>
      <w:r/>
    </w:p>
    <w:p>
      <w:pPr>
        <w:pStyle w:val="1403"/>
        <w:ind w:firstLine="480"/>
        <w:spacing w:before="0" w:beforeAutospacing="0" w:after="0" w:afterAutospacing="0" w:line="360" w:lineRule="auto"/>
        <w:shd w:val="clear" w:color="auto" w:fill="ffffff"/>
        <w:rPr>
          <w:rStyle w:val="1085"/>
          <w:b w:val="0"/>
          <w:color w:val="000000"/>
          <w:highlight w:val="none"/>
        </w:rPr>
      </w:pPr>
      <w:r>
        <w:rPr>
          <w:rFonts w:hint="eastAsia"/>
          <w:color w:val="000000"/>
          <w:highlight w:val="none"/>
        </w:rPr>
        <w:t xml:space="preserve">（5）</w:t>
      </w:r>
      <w:r>
        <w:rPr>
          <w:rStyle w:val="1085"/>
          <w:rFonts w:hint="eastAsia"/>
          <w:b w:val="0"/>
          <w:color w:val="000000"/>
          <w:highlight w:val="none"/>
        </w:rPr>
        <w:t xml:space="preserve">接受监管义务</w:t>
      </w:r>
      <w:r>
        <w:rPr>
          <w:rStyle w:val="1085"/>
          <w:b w:val="0"/>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乙方应随时接受并配合甲方及其委托的第三方机构的监督检查，按要求提供相关资料和记录，并配合相关监管部门对合同执行情况的监督。</w:t>
      </w:r>
      <w:r>
        <w:rPr>
          <w:color w:val="000000"/>
          <w:highlight w:val="none"/>
        </w:rPr>
      </w:r>
      <w:r/>
    </w:p>
    <w:p>
      <w:pPr>
        <w:pStyle w:val="1403"/>
        <w:ind w:firstLine="480"/>
        <w:spacing w:before="0" w:beforeAutospacing="0" w:after="0" w:afterAutospacing="0" w:line="360" w:lineRule="auto"/>
        <w:shd w:val="clear" w:color="auto" w:fill="ffffff"/>
        <w:rPr>
          <w:rStyle w:val="1085"/>
          <w:b w:val="0"/>
          <w:color w:val="000000"/>
          <w:highlight w:val="none"/>
        </w:rPr>
      </w:pPr>
      <w:r>
        <w:rPr>
          <w:rFonts w:hint="eastAsia"/>
          <w:color w:val="000000"/>
          <w:highlight w:val="none"/>
        </w:rPr>
        <w:t xml:space="preserve">（6）</w:t>
      </w:r>
      <w:r>
        <w:rPr>
          <w:rStyle w:val="1085"/>
          <w:rFonts w:hint="eastAsia"/>
          <w:b w:val="0"/>
          <w:color w:val="000000"/>
          <w:highlight w:val="none"/>
        </w:rPr>
        <w:t xml:space="preserve">规章制度</w:t>
      </w:r>
      <w:r>
        <w:rPr>
          <w:rStyle w:val="1085"/>
          <w:b w:val="0"/>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乙方应根据甲方的作业要求和服务特点，自行制定相应的内部管理制度（包括但不限于安全生产、质量管理、应急响应、人员管理考核等）。</w:t>
      </w:r>
      <w:r>
        <w:rPr>
          <w:color w:val="000000"/>
          <w:highlight w:val="none"/>
        </w:rPr>
      </w:r>
      <w:r/>
    </w:p>
    <w:p>
      <w:pPr>
        <w:pStyle w:val="1403"/>
        <w:ind w:firstLine="480"/>
        <w:spacing w:before="0" w:beforeAutospacing="0" w:after="0" w:afterAutospacing="0" w:line="360" w:lineRule="auto"/>
        <w:shd w:val="clear" w:color="auto" w:fill="ffffff"/>
        <w:rPr>
          <w:bCs/>
          <w:color w:val="000000"/>
          <w:highlight w:val="none"/>
        </w:rPr>
      </w:pPr>
      <w:r>
        <w:rPr>
          <w:rFonts w:hint="eastAsia"/>
          <w:color w:val="000000"/>
          <w:highlight w:val="none"/>
        </w:rPr>
        <w:t xml:space="preserve">（7）</w:t>
      </w:r>
      <w:r>
        <w:rPr>
          <w:rFonts w:hint="eastAsia"/>
          <w:bCs/>
          <w:color w:val="000000"/>
          <w:highlight w:val="none"/>
        </w:rPr>
        <w:t xml:space="preserve">安全文明施工</w:t>
      </w:r>
      <w:r>
        <w:rPr>
          <w:bCs/>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乙方在作业和施工时，必须严格遵守相关法律法规及甲方的管理制度，采取必要措施保障作业安全、交通安全和环境整洁。</w:t>
      </w:r>
      <w:r>
        <w:rPr>
          <w:color w:val="000000"/>
          <w:highlight w:val="none"/>
        </w:rPr>
      </w:r>
      <w:r/>
    </w:p>
    <w:p>
      <w:pPr>
        <w:pStyle w:val="1403"/>
        <w:ind w:firstLine="480"/>
        <w:spacing w:before="0" w:beforeAutospacing="0" w:after="0" w:afterAutospacing="0" w:line="360" w:lineRule="auto"/>
        <w:shd w:val="clear" w:color="auto" w:fill="ffffff"/>
        <w:rPr>
          <w:bCs/>
          <w:color w:val="000000"/>
          <w:highlight w:val="none"/>
        </w:rPr>
      </w:pPr>
      <w:r>
        <w:rPr>
          <w:rFonts w:hint="eastAsia"/>
          <w:color w:val="000000"/>
          <w:highlight w:val="none"/>
        </w:rPr>
        <w:t xml:space="preserve">（8）</w:t>
      </w:r>
      <w:r>
        <w:rPr>
          <w:rFonts w:hint="eastAsia"/>
          <w:bCs/>
          <w:color w:val="000000"/>
          <w:highlight w:val="none"/>
        </w:rPr>
        <w:t xml:space="preserve">设备使用与保管</w:t>
      </w:r>
      <w:r>
        <w:rPr>
          <w:bCs/>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乙方应爱护并按相关规范或使用说明操作、维护甲方提供的工具、机械设备等。未经甲方书面同意，不得将甲方资产挪作他用、转借或脱离指定的作业区域。造成损坏或丢失的，应负责修复或赔偿。乙方不得在服务场所内从事任何与本合同约定服务无关或非法的活动，不得侵害甲方及他人的合法权益，若造成损害，乙方有义务进行赔偿。</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合同终止时，乙方向甲方移交全部档案资料和属甲方所有的其他资产，并与甲方或后续服务方办理交接手续。</w:t>
      </w:r>
      <w:r>
        <w:rPr>
          <w:color w:val="000000"/>
          <w:highlight w:val="none"/>
        </w:rPr>
      </w:r>
      <w:r/>
    </w:p>
    <w:p>
      <w:pPr>
        <w:pStyle w:val="1403"/>
        <w:ind w:firstLine="482"/>
        <w:spacing w:before="0" w:beforeAutospacing="0" w:after="0" w:afterAutospacing="0" w:line="360" w:lineRule="auto"/>
        <w:shd w:val="clear" w:color="auto" w:fill="ffffff"/>
        <w:rPr>
          <w:color w:val="000000"/>
          <w:highlight w:val="none"/>
        </w:rPr>
      </w:pPr>
      <w:r>
        <w:rPr>
          <w:rStyle w:val="1085"/>
          <w:rFonts w:hint="eastAsia"/>
          <w:color w:val="000000"/>
          <w:highlight w:val="none"/>
        </w:rPr>
        <w:t xml:space="preserve">第七条  服务要求及考核</w:t>
      </w:r>
      <w:r>
        <w:rPr>
          <w:color w:val="000000"/>
          <w:highlight w:val="none"/>
        </w:rPr>
      </w:r>
      <w:r/>
    </w:p>
    <w:p>
      <w:pPr>
        <w:pStyle w:val="1403"/>
        <w:ind w:firstLine="480"/>
        <w:spacing w:before="0" w:beforeAutospacing="0" w:after="0" w:afterAutospacing="0" w:line="360" w:lineRule="auto"/>
        <w:shd w:val="clear" w:color="auto" w:fill="ffffff"/>
        <w:rPr>
          <w:rStyle w:val="1085"/>
          <w:b w:val="0"/>
          <w:color w:val="000000"/>
          <w:highlight w:val="none"/>
        </w:rPr>
      </w:pPr>
      <w:r>
        <w:rPr>
          <w:rStyle w:val="1085"/>
          <w:rFonts w:hint="eastAsia"/>
          <w:b w:val="0"/>
          <w:color w:val="000000"/>
          <w:highlight w:val="none"/>
        </w:rPr>
        <w:t xml:space="preserve">1.服务要求</w:t>
      </w:r>
      <w:r>
        <w:rPr>
          <w:rStyle w:val="1085"/>
          <w:b w:val="0"/>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Style w:val="1085"/>
          <w:rFonts w:hint="eastAsia"/>
          <w:b w:val="0"/>
          <w:color w:val="000000"/>
          <w:highlight w:val="none"/>
        </w:rPr>
        <w:t xml:space="preserve">详见附件1</w:t>
      </w:r>
      <w:r>
        <w:rPr>
          <w:color w:val="000000"/>
          <w:highlight w:val="none"/>
        </w:rPr>
      </w:r>
      <w:r/>
    </w:p>
    <w:p>
      <w:pPr>
        <w:pStyle w:val="10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bCs/>
          <w:color w:val="000000"/>
          <w:sz w:val="24"/>
          <w:highlight w:val="none"/>
        </w:rPr>
        <w:t xml:space="preserve">考核</w:t>
      </w:r>
      <w:r>
        <w:rPr>
          <w:rFonts w:ascii="宋体" w:hAnsi="宋体" w:cs="宋体"/>
          <w:color w:val="000000"/>
          <w:sz w:val="24"/>
          <w:highlight w:val="none"/>
        </w:rPr>
      </w:r>
      <w:r/>
    </w:p>
    <w:p>
      <w:pPr>
        <w:pStyle w:val="10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对乙方的月度考核采取百分制，每月按附件2《服务项目月度考核表》考核一次。月度考核得分90分以上（含90分），按合同固定单价结算；月度考核得分低于90分的，每低一分扣除当月服务费用的1%。乙方累计两个月考核低于85分，甲方有权单方解除合同并没收履约保证金。</w:t>
      </w:r>
      <w:r>
        <w:rPr>
          <w:rFonts w:ascii="宋体" w:hAnsi="宋体" w:cs="宋体"/>
          <w:color w:val="000000"/>
          <w:sz w:val="24"/>
          <w:highlight w:val="none"/>
        </w:rPr>
      </w:r>
      <w:r/>
    </w:p>
    <w:p>
      <w:pPr>
        <w:pStyle w:val="10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因乙方服务不符合约定标准，给甲方造成经济损失的，甲方有权直接从当月或后续支付的服务费中予以抵扣。该经济损失的抵扣独立于乙方因月度考核低于90分而产生的费用扣除。</w:t>
      </w:r>
      <w:r>
        <w:rPr>
          <w:rFonts w:ascii="宋体" w:hAnsi="宋体" w:cs="宋体"/>
          <w:color w:val="000000"/>
          <w:sz w:val="24"/>
          <w:highlight w:val="none"/>
        </w:rPr>
      </w:r>
      <w:r/>
    </w:p>
    <w:p>
      <w:pPr>
        <w:pStyle w:val="1403"/>
        <w:ind w:firstLine="482"/>
        <w:spacing w:before="0" w:beforeAutospacing="0" w:after="0" w:afterAutospacing="0" w:line="360" w:lineRule="auto"/>
        <w:shd w:val="clear" w:color="auto" w:fill="ffffff"/>
        <w:rPr>
          <w:rStyle w:val="1085"/>
          <w:color w:val="000000"/>
          <w:highlight w:val="none"/>
        </w:rPr>
      </w:pPr>
      <w:r>
        <w:rPr>
          <w:rStyle w:val="1085"/>
          <w:rFonts w:hint="eastAsia"/>
          <w:color w:val="000000"/>
          <w:highlight w:val="none"/>
        </w:rPr>
        <w:t xml:space="preserve">第八条  安全责任</w:t>
      </w:r>
      <w:r>
        <w:rPr>
          <w:rStyle w:val="1085"/>
          <w:color w:val="000000"/>
          <w:highlight w:val="none"/>
        </w:rPr>
      </w:r>
      <w:r/>
    </w:p>
    <w:p>
      <w:pPr>
        <w:pStyle w:val="10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1.乙方应在合同签订后一个月内提供为所派人员办理的100万（含）以上保额的雇主险证明。从事电工、焊接、高处作业等特种作业工作必须持证上岗。</w:t>
      </w:r>
      <w:r>
        <w:rPr>
          <w:rFonts w:ascii="宋体" w:hAnsi="宋体" w:cs="宋体"/>
          <w:color w:val="000000"/>
          <w:sz w:val="24"/>
          <w:highlight w:val="none"/>
        </w:rPr>
      </w:r>
      <w:r/>
    </w:p>
    <w:p>
      <w:pPr>
        <w:pStyle w:val="10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派驻至甲方提供服务的员工，其劳动关系隶属于乙方，与甲方不存在任何劳动关系。在工作中若因乙方责任造成甲乙双方及第三方人员伤亡事故，乙方应妥善处理；乙方处理不善造成甲方影响或损失的，甲方有追究乙方责任的权利。</w:t>
      </w:r>
      <w:r>
        <w:rPr>
          <w:rFonts w:ascii="宋体" w:hAnsi="宋体" w:cs="宋体"/>
          <w:color w:val="000000"/>
          <w:sz w:val="24"/>
          <w:highlight w:val="none"/>
        </w:rPr>
      </w:r>
      <w:r/>
    </w:p>
    <w:p>
      <w:pPr>
        <w:pStyle w:val="1005"/>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3.双方在签订本合同的同时签订安全生产协议。</w:t>
      </w:r>
      <w:r>
        <w:rPr>
          <w:rFonts w:ascii="宋体" w:hAnsi="宋体" w:cs="宋体"/>
          <w:b/>
          <w:bCs/>
          <w:color w:val="000000"/>
          <w:sz w:val="24"/>
          <w:highlight w:val="none"/>
        </w:rPr>
      </w:r>
      <w:r/>
    </w:p>
    <w:p>
      <w:pPr>
        <w:pStyle w:val="1403"/>
        <w:ind w:firstLine="482"/>
        <w:spacing w:before="0" w:beforeAutospacing="0" w:after="0" w:afterAutospacing="0" w:line="360" w:lineRule="auto"/>
        <w:shd w:val="clear" w:color="auto" w:fill="ffffff"/>
        <w:rPr>
          <w:b/>
          <w:bCs/>
          <w:color w:val="000000"/>
          <w:highlight w:val="none"/>
        </w:rPr>
      </w:pPr>
      <w:r>
        <w:rPr>
          <w:rStyle w:val="1085"/>
          <w:rFonts w:hint="eastAsia"/>
          <w:color w:val="000000"/>
          <w:highlight w:val="none"/>
        </w:rPr>
        <w:t xml:space="preserve">第九条  违约责任</w:t>
      </w:r>
      <w:r>
        <w:rPr>
          <w:b/>
          <w:bCs/>
          <w:color w:val="000000"/>
          <w:highlight w:val="none"/>
        </w:rPr>
      </w:r>
      <w:r/>
    </w:p>
    <w:p>
      <w:pPr>
        <w:pStyle w:val="10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因乙方操作不当、维护不力等原因，导致环境污染事件</w:t>
      </w:r>
      <w:r>
        <w:rPr>
          <w:rFonts w:hint="eastAsia" w:ascii="宋体" w:hAnsi="宋体" w:cs="宋体"/>
          <w:color w:val="000000"/>
          <w:sz w:val="24"/>
          <w:highlight w:val="none"/>
        </w:rPr>
        <w:t xml:space="preserve">，乙方应</w:t>
      </w:r>
      <w:r>
        <w:rPr>
          <w:rFonts w:ascii="宋体" w:hAnsi="宋体" w:cs="宋体"/>
          <w:color w:val="000000"/>
          <w:sz w:val="24"/>
          <w:highlight w:val="none"/>
        </w:rPr>
        <w:t xml:space="preserve">承担全部环境修复费用及政府部门的行政处罚</w:t>
      </w:r>
      <w:r>
        <w:rPr>
          <w:rFonts w:hint="eastAsia" w:ascii="宋体" w:hAnsi="宋体" w:cs="宋体"/>
          <w:color w:val="000000"/>
          <w:sz w:val="24"/>
          <w:highlight w:val="none"/>
        </w:rPr>
        <w:t xml:space="preserve">，每发生一次，向甲方支付违约金5000元，同时</w:t>
      </w:r>
      <w:r>
        <w:rPr>
          <w:rFonts w:ascii="宋体" w:hAnsi="宋体" w:cs="宋体"/>
          <w:color w:val="000000"/>
          <w:sz w:val="24"/>
          <w:highlight w:val="none"/>
        </w:rPr>
        <w:t xml:space="preserve">甲方有权解除合同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未经甲方书面同意，</w:t>
      </w:r>
      <w:r>
        <w:rPr>
          <w:rFonts w:hint="eastAsia" w:ascii="宋体" w:hAnsi="宋体" w:cs="宋体"/>
          <w:color w:val="000000"/>
          <w:sz w:val="24"/>
          <w:highlight w:val="none"/>
        </w:rPr>
        <w:t xml:space="preserve">乙方</w:t>
      </w:r>
      <w:r>
        <w:rPr>
          <w:rFonts w:ascii="宋体" w:hAnsi="宋体" w:cs="宋体"/>
          <w:color w:val="000000"/>
          <w:sz w:val="24"/>
          <w:highlight w:val="none"/>
        </w:rPr>
        <w:t xml:space="preserve">擅自停止全部或部分</w:t>
      </w:r>
      <w:r>
        <w:rPr>
          <w:rFonts w:hint="eastAsia" w:ascii="宋体" w:hAnsi="宋体" w:cs="宋体"/>
          <w:color w:val="000000"/>
          <w:sz w:val="24"/>
          <w:highlight w:val="none"/>
        </w:rPr>
        <w:t xml:space="preserve">服务</w:t>
      </w:r>
      <w:r>
        <w:rPr>
          <w:rFonts w:ascii="宋体" w:hAnsi="宋体" w:cs="宋体"/>
          <w:color w:val="000000"/>
          <w:sz w:val="24"/>
          <w:highlight w:val="none"/>
        </w:rPr>
        <w:t xml:space="preserve">工作，或在合同期满/终止时，拒不或拖延向甲方移交设施及相关资料</w:t>
      </w:r>
      <w:r>
        <w:rPr>
          <w:rFonts w:hint="eastAsia" w:ascii="宋体" w:hAnsi="宋体" w:cs="宋体"/>
          <w:color w:val="000000"/>
          <w:sz w:val="24"/>
          <w:highlight w:val="none"/>
        </w:rPr>
        <w:t xml:space="preserve">，</w:t>
      </w:r>
      <w:r>
        <w:rPr>
          <w:rFonts w:ascii="宋体" w:hAnsi="宋体" w:cs="宋体"/>
          <w:color w:val="000000"/>
          <w:sz w:val="24"/>
          <w:highlight w:val="none"/>
        </w:rPr>
        <w:t xml:space="preserve">乙方</w:t>
      </w:r>
      <w:r>
        <w:rPr>
          <w:rFonts w:hint="eastAsia" w:ascii="宋体" w:hAnsi="宋体" w:cs="宋体"/>
          <w:color w:val="000000"/>
          <w:sz w:val="24"/>
          <w:highlight w:val="none"/>
        </w:rPr>
        <w:t xml:space="preserve">应</w:t>
      </w:r>
      <w:r>
        <w:rPr>
          <w:rFonts w:ascii="宋体" w:hAnsi="宋体" w:cs="宋体"/>
          <w:color w:val="000000"/>
          <w:sz w:val="24"/>
          <w:highlight w:val="none"/>
        </w:rPr>
        <w:t xml:space="preserve">赔偿甲方因此遭受的</w:t>
      </w:r>
      <w:r>
        <w:rPr>
          <w:rFonts w:hint="eastAsia" w:ascii="宋体" w:hAnsi="宋体" w:cs="宋体"/>
          <w:color w:val="000000"/>
          <w:sz w:val="24"/>
          <w:highlight w:val="none"/>
        </w:rPr>
        <w:t xml:space="preserve">全部</w:t>
      </w:r>
      <w:r>
        <w:rPr>
          <w:rFonts w:ascii="宋体" w:hAnsi="宋体" w:cs="宋体"/>
          <w:color w:val="000000"/>
          <w:sz w:val="24"/>
          <w:highlight w:val="none"/>
        </w:rPr>
        <w:t xml:space="preserve">损失</w:t>
      </w:r>
      <w:r>
        <w:rPr>
          <w:rFonts w:hint="eastAsia" w:ascii="宋体" w:hAnsi="宋体" w:cs="宋体"/>
          <w:color w:val="000000"/>
          <w:sz w:val="24"/>
          <w:highlight w:val="none"/>
        </w:rPr>
        <w:t xml:space="preserve">，每发生一次，向甲方支付违约金1万元，同时</w:t>
      </w:r>
      <w:r>
        <w:rPr>
          <w:rFonts w:ascii="宋体" w:hAnsi="宋体" w:cs="宋体"/>
          <w:color w:val="000000"/>
          <w:sz w:val="24"/>
          <w:highlight w:val="none"/>
        </w:rPr>
        <w:t xml:space="preserve">甲方有权解除合同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w:t>
      </w:r>
      <w:r>
        <w:rPr>
          <w:rFonts w:ascii="宋体" w:hAnsi="宋体" w:cs="宋体"/>
          <w:color w:val="000000"/>
          <w:sz w:val="24"/>
          <w:highlight w:val="none"/>
        </w:rPr>
        <w:t xml:space="preserve">违反保密义务</w:t>
      </w:r>
      <w:r>
        <w:rPr>
          <w:rFonts w:hint="eastAsia" w:ascii="宋体" w:hAnsi="宋体" w:cs="宋体"/>
          <w:color w:val="000000"/>
          <w:sz w:val="24"/>
          <w:highlight w:val="none"/>
        </w:rPr>
        <w:t xml:space="preserve">，应</w:t>
      </w:r>
      <w:r>
        <w:rPr>
          <w:rFonts w:ascii="宋体" w:hAnsi="宋体" w:cs="宋体"/>
          <w:color w:val="000000"/>
          <w:sz w:val="24"/>
          <w:highlight w:val="none"/>
        </w:rPr>
        <w:t xml:space="preserve">承担相应的法律责任，</w:t>
      </w:r>
      <w:r>
        <w:rPr>
          <w:rFonts w:hint="eastAsia" w:ascii="宋体" w:hAnsi="宋体" w:cs="宋体"/>
          <w:color w:val="000000"/>
          <w:sz w:val="24"/>
          <w:highlight w:val="none"/>
        </w:rPr>
        <w:t xml:space="preserve">每发现一次，向甲方支付违约金5000元，同时甲方有权解除合同。</w:t>
      </w:r>
      <w:r>
        <w:rPr>
          <w:rFonts w:ascii="宋体" w:hAnsi="宋体" w:cs="宋体"/>
          <w:color w:val="000000"/>
          <w:sz w:val="24"/>
          <w:highlight w:val="none"/>
        </w:rPr>
      </w:r>
      <w:r/>
    </w:p>
    <w:p>
      <w:pPr>
        <w:pStyle w:val="10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4.若因乙方原因未能按时完成服务工作，或因服务质量问题影响甲方</w:t>
      </w:r>
      <w:r>
        <w:rPr>
          <w:rFonts w:ascii="宋体" w:hAnsi="宋体" w:cs="宋体"/>
          <w:color w:val="000000"/>
          <w:sz w:val="24"/>
          <w:highlight w:val="none"/>
        </w:rPr>
        <w:t xml:space="preserve">正常</w:t>
      </w:r>
      <w:r>
        <w:rPr>
          <w:rFonts w:hint="eastAsia" w:ascii="宋体" w:hAnsi="宋体" w:cs="宋体"/>
          <w:color w:val="000000"/>
          <w:sz w:val="24"/>
          <w:highlight w:val="none"/>
        </w:rPr>
        <w:t xml:space="preserve">运行的，甲方有权扣除相应的违约费用。造成运行事故或重大影响的，乙方除扣除维修费用和承担相应违约金外，还应赔偿甲方因此受到的直接和间接经济损失，此损失在履约保证金中扣除。履约保证金金额不足时，甲方有权向乙方进行进一步的索赔。</w:t>
      </w:r>
      <w:r>
        <w:rPr>
          <w:rFonts w:ascii="宋体" w:hAnsi="宋体" w:cs="宋体"/>
          <w:color w:val="000000"/>
          <w:sz w:val="24"/>
          <w:highlight w:val="none"/>
        </w:rPr>
      </w:r>
      <w:r/>
    </w:p>
    <w:p>
      <w:pPr>
        <w:pStyle w:val="1403"/>
        <w:ind w:firstLine="482"/>
        <w:spacing w:before="0" w:beforeAutospacing="0" w:after="0" w:afterAutospacing="0" w:line="360" w:lineRule="auto"/>
        <w:shd w:val="clear" w:color="auto" w:fill="ffffff"/>
        <w:rPr>
          <w:b/>
          <w:color w:val="000000"/>
          <w:highlight w:val="none"/>
        </w:rPr>
      </w:pPr>
      <w:r>
        <w:rPr>
          <w:rFonts w:hint="eastAsia"/>
          <w:b/>
          <w:color w:val="000000"/>
          <w:highlight w:val="none"/>
        </w:rPr>
        <w:t xml:space="preserve">第十条  合同的变更和终止</w:t>
      </w:r>
      <w:r>
        <w:rPr>
          <w:b/>
          <w:color w:val="000000"/>
          <w:highlight w:val="none"/>
        </w:rPr>
      </w:r>
      <w:r/>
    </w:p>
    <w:p>
      <w:pPr>
        <w:pStyle w:val="1403"/>
        <w:ind w:firstLine="480"/>
        <w:spacing w:before="0" w:beforeAutospacing="0" w:after="0" w:afterAutospacing="0" w:line="360" w:lineRule="auto"/>
        <w:shd w:val="clear" w:color="auto" w:fill="ffffff"/>
        <w:rPr>
          <w:rStyle w:val="1085"/>
          <w:b w:val="0"/>
          <w:color w:val="000000"/>
          <w:highlight w:val="none"/>
        </w:rPr>
      </w:pPr>
      <w:r>
        <w:rPr>
          <w:rStyle w:val="1085"/>
          <w:rFonts w:hint="eastAsia"/>
          <w:b w:val="0"/>
          <w:color w:val="000000"/>
          <w:highlight w:val="none"/>
        </w:rPr>
        <w:t xml:space="preserve">1.本合同内容如需变更或补充，应经甲乙双方协商后，共同签署书面补充协议。</w:t>
      </w:r>
      <w:r>
        <w:rPr>
          <w:rStyle w:val="1085"/>
          <w:b w:val="0"/>
          <w:color w:val="000000"/>
          <w:highlight w:val="none"/>
        </w:rPr>
      </w:r>
      <w:r/>
    </w:p>
    <w:p>
      <w:pPr>
        <w:pStyle w:val="1403"/>
        <w:ind w:firstLine="480"/>
        <w:spacing w:before="0" w:beforeAutospacing="0" w:after="0" w:afterAutospacing="0" w:line="360" w:lineRule="auto"/>
        <w:shd w:val="clear" w:color="auto" w:fill="ffffff"/>
        <w:rPr>
          <w:rStyle w:val="1085"/>
          <w:b w:val="0"/>
          <w:color w:val="000000"/>
          <w:highlight w:val="none"/>
        </w:rPr>
      </w:pPr>
      <w:r>
        <w:rPr>
          <w:rStyle w:val="1085"/>
          <w:rFonts w:hint="eastAsia"/>
          <w:b w:val="0"/>
          <w:color w:val="000000"/>
          <w:highlight w:val="none"/>
        </w:rPr>
        <w:t xml:space="preserve">2.合同的解除</w:t>
      </w:r>
      <w:r>
        <w:rPr>
          <w:rStyle w:val="1085"/>
          <w:b w:val="0"/>
          <w:color w:val="000000"/>
          <w:highlight w:val="none"/>
        </w:rPr>
      </w:r>
      <w:r/>
    </w:p>
    <w:p>
      <w:pPr>
        <w:pStyle w:val="1403"/>
        <w:ind w:firstLine="480"/>
        <w:spacing w:before="0" w:beforeAutospacing="0" w:after="0" w:afterAutospacing="0" w:line="360" w:lineRule="auto"/>
        <w:shd w:val="clear" w:color="auto" w:fill="ffffff"/>
        <w:rPr>
          <w:rStyle w:val="1085"/>
          <w:b w:val="0"/>
          <w:color w:val="000000"/>
          <w:highlight w:val="none"/>
        </w:rPr>
      </w:pPr>
      <w:r>
        <w:rPr>
          <w:rStyle w:val="1085"/>
          <w:rFonts w:hint="eastAsia"/>
          <w:b w:val="0"/>
          <w:color w:val="000000"/>
          <w:highlight w:val="none"/>
        </w:rPr>
        <w:t xml:space="preserve">（1）如甲乙双方协商一致，可以解除合同。</w:t>
      </w:r>
      <w:r>
        <w:rPr>
          <w:rStyle w:val="1085"/>
          <w:b w:val="0"/>
          <w:color w:val="000000"/>
          <w:highlight w:val="none"/>
        </w:rPr>
      </w:r>
      <w:r/>
    </w:p>
    <w:p>
      <w:pPr>
        <w:pStyle w:val="1403"/>
        <w:ind w:firstLine="480"/>
        <w:spacing w:before="0" w:beforeAutospacing="0" w:after="0" w:afterAutospacing="0" w:line="360" w:lineRule="auto"/>
        <w:shd w:val="clear" w:color="auto" w:fill="ffffff"/>
        <w:rPr>
          <w:rStyle w:val="1085"/>
          <w:b w:val="0"/>
          <w:color w:val="000000"/>
          <w:highlight w:val="none"/>
        </w:rPr>
      </w:pPr>
      <w:r>
        <w:rPr>
          <w:rStyle w:val="1085"/>
          <w:rFonts w:hint="eastAsia"/>
          <w:b w:val="0"/>
          <w:color w:val="000000"/>
          <w:highlight w:val="none"/>
        </w:rPr>
        <w:t xml:space="preserve">（2）</w:t>
      </w:r>
      <w:r>
        <w:rPr>
          <w:bCs/>
          <w:color w:val="000000"/>
          <w:highlight w:val="none"/>
        </w:rPr>
        <w:t xml:space="preserve">乙方由于停止经营、破产或被法院等政府机关强制关停、解散或其他原因而无法继续履行本合同的，甲方有权单方面终止本合同。</w:t>
      </w:r>
      <w:r>
        <w:rPr>
          <w:rStyle w:val="1085"/>
          <w:b w:val="0"/>
          <w:color w:val="000000"/>
          <w:highlight w:val="none"/>
        </w:rPr>
      </w:r>
      <w:r/>
    </w:p>
    <w:p>
      <w:pPr>
        <w:pStyle w:val="1403"/>
        <w:ind w:firstLine="480"/>
        <w:spacing w:before="0" w:beforeAutospacing="0" w:after="0" w:afterAutospacing="0" w:line="360" w:lineRule="auto"/>
        <w:shd w:val="clear" w:color="auto" w:fill="ffffff"/>
        <w:rPr>
          <w:b/>
          <w:color w:val="000000"/>
          <w:highlight w:val="none"/>
        </w:rPr>
      </w:pPr>
      <w:r>
        <w:rPr>
          <w:rStyle w:val="1085"/>
          <w:rFonts w:hint="eastAsia"/>
          <w:b w:val="0"/>
          <w:color w:val="000000"/>
          <w:highlight w:val="none"/>
        </w:rPr>
        <w:t xml:space="preserve">（3）乙方在履约过程中，有下列情形之一的，除扣除相应违约金外，甲方有权在书面通知乙方后解除本合同，并扣除履约保证金，乙方应赔偿甲方因此遭受的全部损失：</w:t>
      </w:r>
      <w:r>
        <w:rPr>
          <w:b/>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1）乙方对本项目进行转包或违法分包；</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2）乙方未能在合同签订后一个月内为投入本项目的服务人员购买不低于100万元额度的雇主责任险；</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3）符合本合同第七条描述，乙方存在累计考核不合格，经甲方书面告知后仍未改善的；</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4）乙方未能履行本合同约定的主要义务，经催告后在合理期限内仍未履行的，或者有其他违约行为致使不能实现合同目的的；</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5）乙方存在其他违法或严重违约的行为。</w:t>
      </w:r>
      <w:r>
        <w:rPr>
          <w:color w:val="000000"/>
          <w:highlight w:val="none"/>
        </w:rPr>
      </w:r>
      <w:r/>
    </w:p>
    <w:p>
      <w:pPr>
        <w:pStyle w:val="1403"/>
        <w:ind w:left="482"/>
        <w:spacing w:before="0" w:beforeAutospacing="0" w:after="0" w:afterAutospacing="0" w:line="360" w:lineRule="auto"/>
        <w:shd w:val="clear" w:color="auto" w:fill="ffffff"/>
        <w:rPr>
          <w:rStyle w:val="1085"/>
          <w:b w:val="0"/>
          <w:color w:val="000000"/>
          <w:highlight w:val="none"/>
        </w:rPr>
      </w:pPr>
      <w:r>
        <w:rPr>
          <w:rStyle w:val="1085"/>
          <w:rFonts w:hint="eastAsia"/>
          <w:b w:val="0"/>
          <w:color w:val="000000"/>
          <w:highlight w:val="none"/>
        </w:rPr>
        <w:t xml:space="preserve">3.合同终止交接</w:t>
      </w:r>
      <w:r>
        <w:rPr>
          <w:rStyle w:val="1085"/>
          <w:b w:val="0"/>
          <w:color w:val="000000"/>
          <w:highlight w:val="none"/>
        </w:rPr>
      </w:r>
      <w:r/>
    </w:p>
    <w:p>
      <w:pPr>
        <w:pStyle w:val="100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本合同服务期满后，除甲方要求乙方立即撤离的，乙方应提供过渡期服务，继续履行本合同，直至新的服务单位接管本项目。过渡期内，本合同继续有效，延续时间最长不超过1个月。过渡期为付费服务，考核、支付等事项按本合同相关条款执行。</w:t>
      </w:r>
      <w:r>
        <w:rPr>
          <w:rFonts w:ascii="宋体" w:hAnsi="宋体"/>
          <w:color w:val="000000"/>
          <w:sz w:val="24"/>
          <w:highlight w:val="none"/>
        </w:rPr>
      </w:r>
      <w:r/>
    </w:p>
    <w:p>
      <w:pPr>
        <w:pStyle w:val="100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（2）过渡期内，乙方应协助甲方做好相关服务的交接和善后工作。</w:t>
      </w:r>
      <w:r>
        <w:rPr>
          <w:rFonts w:ascii="宋体" w:hAnsi="宋体"/>
          <w:color w:val="000000"/>
          <w:sz w:val="24"/>
          <w:highlight w:val="none"/>
        </w:rPr>
      </w:r>
      <w:r/>
    </w:p>
    <w:p>
      <w:pPr>
        <w:pStyle w:val="1403"/>
        <w:ind w:firstLine="482"/>
        <w:spacing w:before="0" w:beforeAutospacing="0" w:after="0" w:afterAutospacing="0" w:line="360" w:lineRule="auto"/>
        <w:shd w:val="clear" w:color="auto" w:fill="ffffff"/>
        <w:rPr>
          <w:b/>
          <w:color w:val="000000"/>
          <w:highlight w:val="none"/>
        </w:rPr>
      </w:pPr>
      <w:r>
        <w:rPr>
          <w:rFonts w:hint="eastAsia"/>
          <w:b/>
          <w:color w:val="000000"/>
          <w:highlight w:val="none"/>
        </w:rPr>
        <w:t xml:space="preserve">第十一条  不可抗力</w:t>
      </w:r>
      <w:r>
        <w:rPr>
          <w:b/>
          <w:color w:val="000000"/>
          <w:highlight w:val="none"/>
        </w:rPr>
      </w:r>
      <w:r/>
    </w:p>
    <w:p>
      <w:pPr>
        <w:pStyle w:val="100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1.不可抗力指下列事件：战争、动乱、瘟疫、严重火灾、洪水、地震、风暴或其他自然灾害，以及本合同各方不可预见、不可防止并不能避免或克服的一切其他事件。</w:t>
      </w:r>
      <w:r>
        <w:rPr>
          <w:rFonts w:ascii="宋体" w:hAnsi="宋体"/>
          <w:color w:val="000000"/>
          <w:sz w:val="24"/>
          <w:highlight w:val="none"/>
        </w:rPr>
      </w:r>
      <w:r/>
    </w:p>
    <w:p>
      <w:pPr>
        <w:pStyle w:val="100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2.任何一方因不可抗力不能履行本合同规定的全部或部分义务，该方应尽快通知对方，并须在不可抗力发生后3日内以书面形式向对方提供详细情况报告及不可抗力对履行本合同的影响程度的说明。</w:t>
      </w:r>
      <w:r>
        <w:rPr>
          <w:rStyle w:val="1085"/>
          <w:rFonts w:hint="eastAsia" w:ascii="宋体" w:hAnsi="宋体"/>
          <w:b w:val="0"/>
          <w:color w:val="000000"/>
          <w:sz w:val="24"/>
          <w:highlight w:val="none"/>
        </w:rPr>
        <w:t xml:space="preserve">在不可抗力期间，乙方需优先保障防汛、应急、抢修等核心服务，不得擅自停止涉及城市基础设施运行维护的岗位工作。</w:t>
      </w:r>
      <w:r>
        <w:rPr>
          <w:rFonts w:ascii="宋体" w:hAnsi="宋体"/>
          <w:color w:val="000000"/>
          <w:sz w:val="24"/>
          <w:highlight w:val="none"/>
        </w:rPr>
      </w:r>
      <w:r/>
    </w:p>
    <w:p>
      <w:pPr>
        <w:pStyle w:val="100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发生不可抗力事件，任何一方均不对因不可抗力无法履行或迟延履行本合同义务而使另外一方蒙受的任何损失承担责任。但遭受不可抗力影响的一方有责任尽可能及时采取适当或必要措施减少或消除不可抗力的影响。遭受不可抗力影响的一方对因未尽本项责任而造成的相关损失承担责任。</w:t>
      </w:r>
      <w:r>
        <w:rPr>
          <w:rFonts w:ascii="宋体" w:hAnsi="宋体"/>
          <w:color w:val="000000"/>
          <w:sz w:val="24"/>
          <w:highlight w:val="none"/>
        </w:rPr>
      </w:r>
      <w:r/>
    </w:p>
    <w:p>
      <w:pPr>
        <w:pStyle w:val="100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4.合同双方应根据不可抗力对本合同履行的影响程度，协商确定是否终止本合同，或是继续履行本合同。</w:t>
      </w:r>
      <w:r>
        <w:rPr>
          <w:rFonts w:ascii="宋体" w:hAnsi="宋体"/>
          <w:color w:val="000000"/>
          <w:sz w:val="24"/>
          <w:highlight w:val="none"/>
        </w:rPr>
      </w:r>
      <w:r/>
    </w:p>
    <w:p>
      <w:pPr>
        <w:pStyle w:val="1403"/>
        <w:ind w:firstLine="482"/>
        <w:spacing w:before="0" w:beforeAutospacing="0" w:after="0" w:afterAutospacing="0" w:line="360" w:lineRule="auto"/>
        <w:shd w:val="clear" w:color="auto" w:fill="ffffff"/>
        <w:rPr>
          <w:color w:val="000000"/>
          <w:highlight w:val="none"/>
        </w:rPr>
      </w:pPr>
      <w:r>
        <w:rPr>
          <w:rStyle w:val="1085"/>
          <w:rFonts w:hint="eastAsia"/>
          <w:color w:val="000000"/>
          <w:highlight w:val="none"/>
        </w:rPr>
        <w:t xml:space="preserve">第十二条  争议的解决</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1.</w:t>
      </w:r>
      <w:r>
        <w:rPr>
          <w:rFonts w:hint="eastAsia"/>
          <w:color w:val="000000"/>
          <w:highlight w:val="none"/>
        </w:rPr>
        <w:t xml:space="preserve">本合同适用中华人民共和国法律。</w:t>
      </w:r>
      <w:r>
        <w:rPr>
          <w:rFonts w:hint="eastAsia"/>
          <w:color w:val="000000"/>
          <w:highlight w:val="none"/>
        </w:rPr>
        <w:t xml:space="preserve">因本合同引起的任何争议，双方可首先友好协商解决。争议解决方式：双方同意选择仲裁方式处理合同争议，仲裁机构为常州仲裁委员会。</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2.双方对于仲裁的约定</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（1）</w:t>
      </w:r>
      <w:r>
        <w:rPr>
          <w:rStyle w:val="1085"/>
          <w:rFonts w:hint="eastAsia"/>
          <w:b w:val="0"/>
          <w:color w:val="000000"/>
          <w:highlight w:val="none"/>
        </w:rPr>
        <w:t xml:space="preserve">双方同意在争议仲裁期间，除与争议直接相关的部分外，本合同其余部分应继续履行。仲裁庭另有决定的，按仲裁庭要求执行。乙方承诺，即便发生争议，其仍将继续提供涉及公共安全的核心服务，直至新的服务提供商完成接管。甲方如需进行过渡安排，乙方应予以全面配合。</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（2）双方同意争议解决适用简易程序和</w:t>
      </w:r>
      <w:r>
        <w:rPr>
          <w:rStyle w:val="1085"/>
          <w:rFonts w:hint="eastAsia"/>
          <w:b w:val="0"/>
          <w:color w:val="000000"/>
          <w:highlight w:val="none"/>
        </w:rPr>
        <w:t xml:space="preserve">先行裁决：</w:t>
      </w:r>
      <w:r>
        <w:rPr>
          <w:rFonts w:hint="eastAsia"/>
          <w:color w:val="000000"/>
          <w:highlight w:val="none"/>
        </w:rPr>
        <w:t xml:space="preserve">对于涉及合同是否解除等紧迫问题的争议，双方同意可提请仲裁庭适用简易程序，也可同时提请进行先行裁决（部分裁决）。</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（3）仲裁裁决是终局的，对双方均有约束力。</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4）因乙方违约、甲方选择解除合同的，可提前向乙方发出《合同解除通知书》。乙方对解除合同有争议的，应于15日内向常州仲裁委员会申请仲裁，并书面告知甲方；乙方对解除合同没有异议的，应书面告知同意解除合同，并在《合同解除通知书》要求的时间内，按本合同规定做好交接和善后工作，合同解除的具体时间以《合同解除通知书》中载明的时间为准。未按时履行交接，每延迟一天，按合同价的0.5%支付违约金。</w:t>
      </w:r>
      <w:r>
        <w:rPr>
          <w:color w:val="000000"/>
          <w:highlight w:val="none"/>
        </w:rPr>
      </w:r>
      <w:r/>
    </w:p>
    <w:p>
      <w:pPr>
        <w:pStyle w:val="1403"/>
        <w:ind w:firstLine="482"/>
        <w:spacing w:before="0" w:beforeAutospacing="0" w:after="0" w:afterAutospacing="0" w:line="360" w:lineRule="auto"/>
        <w:shd w:val="clear" w:color="auto" w:fill="ffffff"/>
        <w:rPr>
          <w:color w:val="000000"/>
          <w:highlight w:val="none"/>
        </w:rPr>
      </w:pPr>
      <w:r>
        <w:rPr>
          <w:rStyle w:val="1085"/>
          <w:rFonts w:hint="eastAsia"/>
          <w:color w:val="000000"/>
          <w:highlight w:val="none"/>
        </w:rPr>
        <w:t xml:space="preserve">第十三条  合同生效及其他</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1.本合同经甲乙双方盖章后生效。</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2.本合同未尽事宜，应由双方协商一致后签订书面补充协议，补充协议与本合同具有同等法律效力。</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3.本合同一式陆份，甲方执肆份，乙方执贰份。</w:t>
      </w:r>
      <w:r>
        <w:rPr>
          <w:color w:val="000000"/>
          <w:highlight w:val="none"/>
        </w:rPr>
      </w:r>
      <w:r/>
    </w:p>
    <w:p>
      <w:pPr>
        <w:pStyle w:val="1403"/>
        <w:ind w:firstLine="480"/>
        <w:spacing w:before="0" w:beforeAutospacing="0" w:after="0" w:afterAutospacing="0" w:line="360" w:lineRule="auto"/>
        <w:shd w:val="clear" w:color="auto" w:fill="ffffff"/>
        <w:rPr>
          <w:color w:val="000000"/>
          <w:highlight w:val="none"/>
        </w:rPr>
      </w:pPr>
      <w:r>
        <w:rPr>
          <w:rFonts w:hint="eastAsia"/>
          <w:color w:val="000000"/>
          <w:highlight w:val="none"/>
        </w:rPr>
        <w:t xml:space="preserve">4.本合同签订地为常州市飞龙东路116号。</w:t>
      </w:r>
      <w:r>
        <w:rPr>
          <w:color w:val="000000"/>
          <w:highlight w:val="none"/>
        </w:rPr>
      </w:r>
      <w:r/>
    </w:p>
    <w:p>
      <w:pPr>
        <w:pStyle w:val="1005"/>
        <w:ind w:firstLine="482"/>
        <w:jc w:val="left"/>
        <w:spacing w:line="360" w:lineRule="auto"/>
        <w:widowControl/>
        <w:rPr>
          <w:rFonts w:ascii="宋体" w:hAnsi="宋体"/>
          <w:color w:val="000000"/>
          <w:sz w:val="24"/>
          <w:highlight w:val="none"/>
        </w:rPr>
      </w:pPr>
      <w:r>
        <w:rPr>
          <w:rFonts w:hint="eastAsia" w:ascii="宋体" w:hAnsi="宋体"/>
          <w:b/>
          <w:color w:val="000000"/>
          <w:sz w:val="24"/>
          <w:highlight w:val="none"/>
        </w:rPr>
        <w:t xml:space="preserve">第十四条  </w:t>
      </w:r>
      <w:r>
        <w:rPr>
          <w:rFonts w:ascii="宋体" w:hAnsi="宋体"/>
          <w:b/>
          <w:color w:val="000000"/>
          <w:sz w:val="24"/>
          <w:highlight w:val="none"/>
        </w:rPr>
        <w:t xml:space="preserve">合同附件</w:t>
      </w:r>
      <w:r>
        <w:rPr>
          <w:rFonts w:ascii="宋体" w:hAnsi="宋体"/>
          <w:color w:val="000000"/>
          <w:sz w:val="24"/>
          <w:highlight w:val="none"/>
        </w:rPr>
      </w:r>
      <w:r/>
    </w:p>
    <w:p>
      <w:pPr>
        <w:pStyle w:val="100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附件1：</w:t>
      </w:r>
      <w:r>
        <w:rPr>
          <w:rFonts w:hint="eastAsia" w:ascii="宋体" w:hAnsi="宋体" w:cs="宋体"/>
          <w:color w:val="000000"/>
          <w:sz w:val="24"/>
          <w:highlight w:val="none"/>
        </w:rPr>
        <w:t xml:space="preserve">服务要求</w:t>
      </w:r>
      <w:r>
        <w:rPr>
          <w:rFonts w:ascii="宋体" w:hAnsi="宋体"/>
          <w:color w:val="000000"/>
          <w:sz w:val="24"/>
          <w:highlight w:val="none"/>
        </w:rPr>
      </w:r>
      <w:r/>
    </w:p>
    <w:p>
      <w:pPr>
        <w:pStyle w:val="1005"/>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附件</w:t>
      </w: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服务项目月度考核表</w:t>
      </w:r>
      <w:r>
        <w:rPr>
          <w:rFonts w:ascii="宋体" w:hAnsi="宋体"/>
          <w:color w:val="000000"/>
          <w:sz w:val="24"/>
          <w:highlight w:val="none"/>
        </w:rPr>
      </w:r>
      <w:r/>
    </w:p>
    <w:p>
      <w:pPr>
        <w:pStyle w:val="1005"/>
        <w:ind w:firstLine="480"/>
        <w:jc w:val="left"/>
        <w:spacing w:line="360" w:lineRule="auto"/>
        <w:widowControl/>
        <w:rPr>
          <w:rFonts w:ascii="宋体" w:hAnsi="宋体"/>
          <w:b/>
          <w:color w:val="000000"/>
          <w:sz w:val="24"/>
          <w:highlight w:val="none"/>
        </w:rPr>
      </w:pPr>
      <w:r>
        <w:rPr>
          <w:rFonts w:ascii="宋体" w:hAnsi="宋体"/>
          <w:color w:val="000000"/>
          <w:sz w:val="24"/>
          <w:highlight w:val="none"/>
        </w:rPr>
        <w:t xml:space="preserve">附件</w:t>
      </w:r>
      <w:r>
        <w:rPr>
          <w:rFonts w:hint="eastAsia" w:ascii="宋体" w:hAnsi="宋体"/>
          <w:color w:val="000000"/>
          <w:sz w:val="24"/>
          <w:highlight w:val="none"/>
        </w:rPr>
        <w:t xml:space="preserve">3</w:t>
      </w:r>
      <w:r>
        <w:rPr>
          <w:rFonts w:ascii="宋体" w:hAnsi="宋体"/>
          <w:color w:val="000000"/>
          <w:sz w:val="24"/>
          <w:highlight w:val="none"/>
        </w:rPr>
        <w:t xml:space="preserve">：安全生产协议</w:t>
      </w:r>
      <w:r>
        <w:rPr>
          <w:rFonts w:ascii="宋体" w:hAnsi="宋体"/>
          <w:color w:val="000000"/>
          <w:sz w:val="24"/>
          <w:highlight w:val="none"/>
        </w:rPr>
        <w:br w:type="page" w:clear="all"/>
      </w:r>
      <w:r>
        <w:rPr>
          <w:rFonts w:ascii="宋体" w:hAnsi="宋体"/>
          <w:b/>
          <w:color w:val="000000"/>
          <w:sz w:val="24"/>
          <w:highlight w:val="none"/>
        </w:rPr>
        <w:t xml:space="preserve">（</w:t>
      </w:r>
      <w:r>
        <w:rPr>
          <w:rFonts w:hint="eastAsia" w:ascii="宋体" w:hAnsi="宋体"/>
          <w:b/>
          <w:color w:val="000000"/>
          <w:sz w:val="24"/>
          <w:highlight w:val="none"/>
        </w:rPr>
        <w:t xml:space="preserve">签章页</w:t>
      </w:r>
      <w:r>
        <w:rPr>
          <w:rFonts w:ascii="宋体" w:hAnsi="宋体"/>
          <w:b/>
          <w:color w:val="000000"/>
          <w:sz w:val="24"/>
          <w:highlight w:val="none"/>
        </w:rPr>
        <w:t xml:space="preserve">）</w:t>
      </w:r>
      <w:r>
        <w:rPr>
          <w:rFonts w:ascii="宋体" w:hAnsi="宋体"/>
          <w:b/>
          <w:color w:val="000000"/>
          <w:sz w:val="24"/>
          <w:highlight w:val="none"/>
        </w:rPr>
      </w:r>
      <w:r/>
    </w:p>
    <w:p>
      <w:pPr>
        <w:pStyle w:val="1005"/>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甲    方：常州市排水管理处</w:t>
      </w:r>
      <w:r>
        <w:rPr>
          <w:rFonts w:ascii="宋体" w:hAnsi="宋体" w:cs="宋体"/>
          <w:color w:val="000000"/>
          <w:sz w:val="24"/>
          <w:highlight w:val="none"/>
        </w:rPr>
      </w:r>
      <w:r/>
    </w:p>
    <w:p>
      <w:pPr>
        <w:pStyle w:val="1005"/>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单位名称（章）：</w:t>
      </w:r>
      <w:r>
        <w:rPr>
          <w:rFonts w:ascii="宋体" w:hAnsi="宋体" w:cs="宋体"/>
          <w:color w:val="000000"/>
          <w:sz w:val="24"/>
          <w:highlight w:val="none"/>
        </w:rPr>
      </w:r>
      <w:r/>
    </w:p>
    <w:p>
      <w:pPr>
        <w:pStyle w:val="1005"/>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单位地址：常州市天宁区飞龙东路116号</w:t>
      </w:r>
      <w:r>
        <w:rPr>
          <w:rFonts w:ascii="宋体" w:hAnsi="宋体" w:cs="宋体"/>
          <w:color w:val="000000"/>
          <w:sz w:val="24"/>
          <w:highlight w:val="none"/>
        </w:rPr>
      </w:r>
      <w:r/>
    </w:p>
    <w:p>
      <w:pPr>
        <w:pStyle w:val="1005"/>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p>
      <w:pPr>
        <w:pStyle w:val="1005"/>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委托代理人：</w:t>
      </w:r>
      <w:r>
        <w:rPr>
          <w:rFonts w:ascii="宋体" w:hAnsi="宋体" w:cs="宋体"/>
          <w:color w:val="000000"/>
          <w:sz w:val="24"/>
          <w:highlight w:val="none"/>
        </w:rPr>
      </w:r>
      <w:r/>
    </w:p>
    <w:p>
      <w:pPr>
        <w:pStyle w:val="1005"/>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联系电话：0519-85570873</w:t>
      </w:r>
      <w:r>
        <w:rPr>
          <w:rFonts w:ascii="宋体" w:hAnsi="宋体" w:cs="宋体"/>
          <w:color w:val="000000"/>
          <w:sz w:val="24"/>
          <w:highlight w:val="none"/>
        </w:rPr>
      </w:r>
      <w:r/>
    </w:p>
    <w:p>
      <w:pPr>
        <w:pStyle w:val="1005"/>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日  期：______年____月____日</w:t>
      </w:r>
      <w:r>
        <w:rPr>
          <w:rFonts w:ascii="宋体" w:hAnsi="宋体" w:cs="宋体"/>
          <w:color w:val="000000"/>
          <w:sz w:val="24"/>
          <w:highlight w:val="none"/>
        </w:rPr>
      </w:r>
      <w:r/>
    </w:p>
    <w:p>
      <w:pPr>
        <w:pStyle w:val="1005"/>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1005"/>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乙    方：</w:t>
      </w:r>
      <w:r>
        <w:rPr>
          <w:rFonts w:ascii="宋体" w:hAnsi="宋体" w:cs="宋体"/>
          <w:color w:val="000000"/>
          <w:sz w:val="24"/>
          <w:highlight w:val="none"/>
        </w:rPr>
      </w:r>
      <w:r/>
    </w:p>
    <w:p>
      <w:pPr>
        <w:pStyle w:val="1005"/>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单位名称（章）：</w:t>
      </w:r>
      <w:r>
        <w:rPr>
          <w:rFonts w:ascii="宋体" w:hAnsi="宋体" w:cs="宋体"/>
          <w:color w:val="000000"/>
          <w:sz w:val="24"/>
          <w:highlight w:val="none"/>
        </w:rPr>
      </w:r>
      <w:r/>
    </w:p>
    <w:p>
      <w:pPr>
        <w:pStyle w:val="1005"/>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单位地址：</w:t>
      </w:r>
      <w:r>
        <w:rPr>
          <w:rFonts w:ascii="宋体" w:hAnsi="宋体" w:cs="宋体"/>
          <w:color w:val="000000"/>
          <w:sz w:val="24"/>
          <w:highlight w:val="none"/>
        </w:rPr>
      </w:r>
      <w:r/>
    </w:p>
    <w:p>
      <w:pPr>
        <w:pStyle w:val="1005"/>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p>
      <w:pPr>
        <w:pStyle w:val="1005"/>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委托代理人：</w:t>
      </w:r>
      <w:r>
        <w:rPr>
          <w:rFonts w:ascii="宋体" w:hAnsi="宋体" w:cs="宋体"/>
          <w:color w:val="000000"/>
          <w:sz w:val="24"/>
          <w:highlight w:val="none"/>
        </w:rPr>
      </w:r>
      <w:r/>
    </w:p>
    <w:p>
      <w:pPr>
        <w:pStyle w:val="1005"/>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p>
      <w:pPr>
        <w:pStyle w:val="1005"/>
        <w:jc w:val="left"/>
        <w:spacing w:line="360" w:lineRule="auto"/>
        <w:widowControl/>
        <w:rPr>
          <w:rFonts w:ascii="宋体" w:hAnsi="宋体"/>
          <w:color w:val="000000"/>
          <w:sz w:val="24"/>
          <w:highlight w:val="none"/>
        </w:rPr>
      </w:pPr>
      <w:r>
        <w:rPr>
          <w:rFonts w:hint="eastAsia" w:ascii="宋体" w:hAnsi="宋体" w:cs="宋体"/>
          <w:color w:val="000000"/>
          <w:sz w:val="24"/>
          <w:highlight w:val="none"/>
        </w:rPr>
        <w:t xml:space="preserve">日  期：______年____月____日</w:t>
      </w:r>
      <w:r>
        <w:rPr>
          <w:rFonts w:ascii="宋体" w:hAnsi="宋体"/>
          <w:color w:val="000000"/>
          <w:sz w:val="24"/>
          <w:highlight w:val="none"/>
        </w:rPr>
      </w:r>
      <w:r/>
    </w:p>
    <w:p>
      <w:pPr>
        <w:pStyle w:val="1005"/>
        <w:spacing w:line="360" w:lineRule="auto"/>
        <w:widowControl/>
        <w:rPr>
          <w:rFonts w:ascii="宋体" w:hAnsi="宋体"/>
          <w:color w:val="000000"/>
          <w:sz w:val="24"/>
          <w:highlight w:val="none"/>
        </w:rPr>
      </w:pPr>
      <w:r>
        <w:rPr>
          <w:rFonts w:ascii="宋体" w:hAnsi="宋体"/>
          <w:color w:val="000000"/>
          <w:sz w:val="24"/>
          <w:highlight w:val="none"/>
        </w:rPr>
      </w:r>
      <w:r/>
    </w:p>
    <w:p>
      <w:pPr>
        <w:pStyle w:val="1005"/>
        <w:jc w:val="left"/>
        <w:spacing w:line="360" w:lineRule="auto"/>
        <w:widowControl/>
        <w:rPr>
          <w:rFonts w:ascii="宋体" w:hAnsi="宋体"/>
          <w:b/>
          <w:color w:val="000000"/>
          <w:sz w:val="24"/>
          <w:highlight w:val="none"/>
        </w:rPr>
        <w:outlineLvl w:val="1"/>
      </w:pPr>
      <w:r>
        <w:rPr>
          <w:rFonts w:ascii="宋体" w:hAnsi="宋体"/>
          <w:b/>
          <w:color w:val="000000"/>
          <w:highlight w:val="none"/>
        </w:rPr>
        <w:br w:type="page" w:clear="all"/>
      </w:r>
      <w:r>
        <w:rPr>
          <w:rFonts w:ascii="宋体" w:hAnsi="宋体"/>
          <w:b/>
          <w:color w:val="000000"/>
          <w:sz w:val="24"/>
          <w:highlight w:val="none"/>
        </w:rPr>
        <w:t xml:space="preserve">附件</w:t>
      </w:r>
      <w:r>
        <w:rPr>
          <w:rFonts w:hint="eastAsia" w:ascii="宋体" w:hAnsi="宋体"/>
          <w:b/>
          <w:color w:val="000000"/>
          <w:sz w:val="24"/>
          <w:highlight w:val="none"/>
        </w:rPr>
        <w:t xml:space="preserve">1</w:t>
      </w:r>
      <w:r>
        <w:rPr>
          <w:rFonts w:ascii="宋体" w:hAnsi="宋体"/>
          <w:b/>
          <w:color w:val="000000"/>
          <w:sz w:val="24"/>
          <w:highlight w:val="none"/>
        </w:rPr>
        <w:t xml:space="preserve">：</w:t>
      </w:r>
      <w:r>
        <w:rPr>
          <w:rFonts w:hint="eastAsia" w:ascii="宋体" w:hAnsi="宋体"/>
          <w:b/>
          <w:color w:val="000000"/>
          <w:sz w:val="24"/>
          <w:highlight w:val="none"/>
        </w:rPr>
        <w:t xml:space="preserve">服务要求</w:t>
      </w:r>
      <w:r>
        <w:rPr>
          <w:rFonts w:ascii="宋体" w:hAnsi="宋体"/>
          <w:b/>
          <w:color w:val="000000"/>
          <w:sz w:val="24"/>
          <w:highlight w:val="none"/>
        </w:rPr>
      </w:r>
      <w:r/>
    </w:p>
    <w:p>
      <w:pPr>
        <w:pStyle w:val="1005"/>
        <w:ind w:firstLine="482"/>
        <w:jc w:val="left"/>
        <w:spacing w:line="360" w:lineRule="auto"/>
        <w:widowControl/>
        <w:tabs>
          <w:tab w:val="left" w:pos="1117" w:leader="none"/>
        </w:tabs>
        <w:rPr>
          <w:rFonts w:ascii="宋体" w:hAnsi="宋体"/>
          <w:b/>
          <w:bCs/>
          <w:color w:val="000000"/>
          <w:sz w:val="24"/>
          <w:highlight w:val="none"/>
        </w:rPr>
      </w:pPr>
      <w:r>
        <w:rPr>
          <w:rFonts w:hint="eastAsia" w:ascii="宋体" w:hAnsi="宋体"/>
          <w:b/>
          <w:bCs/>
          <w:color w:val="000000"/>
          <w:sz w:val="24"/>
          <w:highlight w:val="none"/>
        </w:rPr>
        <w:t xml:space="preserve">一、河道生态补水</w:t>
      </w:r>
      <w:r>
        <w:rPr>
          <w:rFonts w:ascii="宋体" w:hAnsi="宋体"/>
          <w:b/>
          <w:bCs/>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1.系统运行管理操作内容及要求（包括但不限于）</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1.1按系统运行工艺要求进行24小时值守、巡视，完成运行所需的各项运行操作内容；</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1.2运行记录台帐填报工作，PAC、PAM、磁粉三种药剂按照要求投加并摆放整齐；</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1.3设施的管养工作：</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（1）泵站所有设施、设备、场地、房屋等保持干净、整洁（包括人工格栅垃圾的清捞处理、房屋屋顶排水沟（管）的检查排堵）；</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（2）空调应保证内、外机外表干净，内机滤网及外机定时清灰，严禁因灰尘过多导致空调停机、损坏现象发生；</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（3）对各种损坏的照明灯具、开关、插座、门窗、锁、铰链、供水设施的水嘴等及时进行维修更换；</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（4）根据灭火器的使用年限及压力状态，每月做好检查记录并书面向泵站管理所提出灭火器的更换清单。</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1.4设备的管养工作</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（1）根据要求对各类机械、电气设备的定期检查、保养：包括控制柜、自控柜、流量计、液位计等电气（仪表）设备，净水装置、水泵、格栅、压榨机、闸阀门等机械设备。</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（2）每年3月份对泵站流量计、液位计准确性进行校准并做好记录，相关费用由乙方承担并提供流量计的校准证书；</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（3）日常各类非需外协单位进行维修的机械、电气（仪表）设备的故障排除，并及时上报需外协单位进行维修的情况；</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（4）在排除故障中，乙方按照下述《</w:t>
      </w:r>
      <w:r>
        <w:rPr>
          <w:rFonts w:hint="eastAsia" w:ascii="宋体" w:hAnsi="宋体" w:cs="宋体"/>
          <w:color w:val="000000"/>
          <w:sz w:val="24"/>
          <w:highlight w:val="none"/>
        </w:rPr>
        <w:t xml:space="preserve">乙方负责的维修工作内容清单</w:t>
      </w:r>
      <w:r>
        <w:rPr>
          <w:rFonts w:hint="eastAsia" w:ascii="宋体" w:hAnsi="宋体"/>
          <w:color w:val="000000"/>
          <w:sz w:val="24"/>
          <w:highlight w:val="none"/>
        </w:rPr>
        <w:t xml:space="preserve">》负责完成相关维修工作，其相关费用由乙方自行承担。保养过程中的各类润滑油均由乙方自行承担。</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（5）净水站、抽排泵站等工作范围内设施、设备及操作场所的卫生保洁工作，爱护车间内水电设施，节约用电、用水；</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（6）提前做好在雨天、汛期等极端天气时的设备运行应急预案；</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1.5巡河工作</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（1）巡河目的：在保证出水水质的情况下，及时掌握9条河道各个断面透明度等水质指标及沿河推流曝气等设备工作状态。</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（2）巡河频次：一般每天1次，根据甲方要求适当增减； </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（3）巡河要求：</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①测量补水河道各个断面的透明度（包括外河），对河道断面进行拍照，并将相应断面的颜色、气味、流向、流速、浮萍、底泥、漂浮物、藻类等及时记录。 </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②关注市河排口是否有污水排出，如有，须拍照上报。</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③关注沿河的推流及曝气装置、在线水质仪表等是否正常工作，若有故障及时联系甲方相关管理人员。</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④河道照片一律采用水印相机横向拍摄（水印内容包括日期、地点、温度、天气）</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（4）巡河断面如下（乙方按照甲方要求调整）：</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①南市河、东市河巡河断面：西水关闸站、西水关桥、商会桥、中新桥、琢初桥、元丰桥、东太平桥、九华桥、东市河闸站。</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②</w:t>
      </w:r>
      <w:r>
        <w:rPr>
          <w:rFonts w:hint="eastAsia" w:ascii="宋体" w:hAnsi="宋体"/>
          <w:bCs/>
          <w:color w:val="000000"/>
          <w:sz w:val="24"/>
          <w:highlight w:val="none"/>
        </w:rPr>
        <w:t xml:space="preserve">西市河、锁桥河巡河断面：西市河闸站、白龙桥、文在桥、人防桥、小虹桥、泰安桥、锁桥河闸站。</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bCs/>
          <w:color w:val="000000"/>
          <w:sz w:val="24"/>
          <w:highlight w:val="none"/>
        </w:rPr>
        <w:t xml:space="preserve">③北市河巡河断面：西园村闸站、博爱桥、金桥市场弯口、鹤园桥、椿庭桥、致远桥。</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bCs/>
          <w:color w:val="000000"/>
          <w:sz w:val="24"/>
          <w:highlight w:val="none"/>
        </w:rPr>
        <w:t xml:space="preserve">④十字河巡河断面：十字河出水口、都市桃源观景平台、平桥、亭桥、洪庄桥、橡胶坝西侧。</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bCs/>
          <w:color w:val="000000"/>
          <w:sz w:val="24"/>
          <w:highlight w:val="none"/>
        </w:rPr>
        <w:t xml:space="preserve">⑤双桥浜巡河断面：双桥浜出水口、红莲桥、润德半岛桥、润锦桥、名人桥</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bCs/>
          <w:color w:val="000000"/>
          <w:sz w:val="24"/>
          <w:highlight w:val="none"/>
        </w:rPr>
        <w:t xml:space="preserve">⑥章家浜巡河断面：章青桥、青东桥、方里桥。</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bCs/>
          <w:color w:val="000000"/>
          <w:sz w:val="24"/>
          <w:highlight w:val="none"/>
        </w:rPr>
        <w:t xml:space="preserve">⑦三宝浜巡河断面：和富桥、红梅南路桥、龙游路桥。</w:t>
      </w:r>
      <w:r>
        <w:rPr>
          <w:rFonts w:ascii="宋体" w:hAnsi="宋体"/>
          <w:color w:val="000000"/>
          <w:sz w:val="24"/>
          <w:highlight w:val="none"/>
        </w:rPr>
      </w:r>
      <w:r/>
    </w:p>
    <w:p>
      <w:pPr>
        <w:pStyle w:val="1005"/>
        <w:ind w:firstLine="480"/>
        <w:jc w:val="left"/>
        <w:spacing w:line="360" w:lineRule="auto"/>
        <w:widowControl/>
        <w:tabs>
          <w:tab w:val="left" w:pos="1117" w:leader="none"/>
        </w:tabs>
        <w:rPr>
          <w:rFonts w:ascii="宋体" w:hAnsi="宋体"/>
          <w:color w:val="000000"/>
          <w:sz w:val="24"/>
          <w:highlight w:val="none"/>
        </w:rPr>
      </w:pPr>
      <w:r>
        <w:rPr>
          <w:rFonts w:hint="eastAsia" w:ascii="宋体" w:hAnsi="宋体"/>
          <w:color w:val="000000"/>
          <w:sz w:val="24"/>
          <w:highlight w:val="none"/>
        </w:rPr>
        <w:t xml:space="preserve">1.6</w:t>
      </w:r>
      <w:r>
        <w:rPr>
          <w:rFonts w:hint="eastAsia" w:ascii="宋体" w:hAnsi="宋体"/>
          <w:bCs/>
          <w:color w:val="000000"/>
          <w:sz w:val="24"/>
          <w:highlight w:val="none"/>
        </w:rPr>
        <w:t xml:space="preserve">泵站清理垃圾、浮泥（浮油）、水生植物收割处置等（相关费用已包含在投标报价中）</w:t>
      </w:r>
      <w:r>
        <w:rPr>
          <w:rFonts w:ascii="宋体" w:hAnsi="宋体"/>
          <w:color w:val="000000"/>
          <w:sz w:val="24"/>
          <w:highlight w:val="none"/>
        </w:rPr>
      </w:r>
      <w:r/>
    </w:p>
    <w:p>
      <w:pPr>
        <w:pStyle w:val="1037"/>
        <w:ind w:firstLine="480"/>
        <w:jc w:val="left"/>
        <w:spacing w:before="0" w:line="360" w:lineRule="auto"/>
        <w:tabs>
          <w:tab w:val="left" w:pos="567" w:leader="none"/>
        </w:tabs>
        <w:rPr>
          <w:color w:val="000000"/>
          <w:highlight w:val="none"/>
        </w:rPr>
      </w:pPr>
      <w:r>
        <w:rPr>
          <w:rFonts w:hint="eastAsia"/>
          <w:bCs/>
          <w:color w:val="000000"/>
          <w:highlight w:val="none"/>
        </w:rPr>
        <w:t xml:space="preserve">（1）抽排泵站：必须保证抽排泵站正常运行，由于抽排泵站垃圾较多，乙方需配备多人及时进行清捞。在捞垃圾、清理垃圾的情况下，必须2人及以上在场。净水站的进水口、人工格栅、机械格栅必须每天进行清捞。</w:t>
      </w:r>
      <w:r>
        <w:rPr>
          <w:color w:val="000000"/>
          <w:highlight w:val="none"/>
        </w:rPr>
      </w:r>
      <w:r/>
    </w:p>
    <w:p>
      <w:pPr>
        <w:pStyle w:val="1037"/>
        <w:ind w:firstLine="480"/>
        <w:jc w:val="left"/>
        <w:spacing w:before="0" w:line="360" w:lineRule="auto"/>
        <w:tabs>
          <w:tab w:val="left" w:pos="567" w:leader="none"/>
        </w:tabs>
        <w:rPr>
          <w:color w:val="000000"/>
          <w:highlight w:val="none"/>
        </w:rPr>
      </w:pPr>
      <w:r>
        <w:rPr>
          <w:rFonts w:hint="eastAsia"/>
          <w:bCs/>
          <w:color w:val="000000"/>
          <w:highlight w:val="none"/>
        </w:rPr>
        <w:t xml:space="preserve">（2）浮泥（浮油）、水生植物等清捞：在浮泥（浮油）、水生植物等多发季节，按照甲方方要求进行清理。</w:t>
      </w:r>
      <w:r>
        <w:rPr>
          <w:color w:val="000000"/>
          <w:highlight w:val="none"/>
        </w:rPr>
      </w:r>
      <w:r/>
    </w:p>
    <w:p>
      <w:pPr>
        <w:pStyle w:val="1037"/>
        <w:ind w:firstLine="480"/>
        <w:jc w:val="left"/>
        <w:spacing w:before="0" w:line="360" w:lineRule="auto"/>
        <w:tabs>
          <w:tab w:val="left" w:pos="567" w:leader="none"/>
        </w:tabs>
        <w:rPr>
          <w:color w:val="000000"/>
          <w:highlight w:val="none"/>
        </w:rPr>
      </w:pPr>
      <w:r>
        <w:rPr>
          <w:rFonts w:hint="eastAsia"/>
          <w:bCs/>
          <w:color w:val="000000"/>
          <w:highlight w:val="none"/>
        </w:rPr>
        <w:t xml:space="preserve">（3）垃圾、浮泥（浮油）、水生植物等在符合环保、环卫等相关规定下，由乙方自行处理。</w:t>
      </w:r>
      <w:r>
        <w:rPr>
          <w:color w:val="000000"/>
          <w:highlight w:val="none"/>
        </w:rPr>
      </w:r>
      <w:r/>
    </w:p>
    <w:p>
      <w:pPr>
        <w:pStyle w:val="1005"/>
        <w:jc w:val="center"/>
        <w:spacing w:line="360" w:lineRule="auto"/>
        <w:widowControl/>
        <w:rPr>
          <w:rFonts w:ascii="宋体" w:hAnsi="宋体" w:cs="宋体"/>
          <w:color w:val="000000"/>
          <w:sz w:val="24"/>
          <w:highlight w:val="none"/>
        </w:rPr>
      </w:pPr>
      <w:r>
        <w:rPr>
          <w:rFonts w:hint="eastAsia" w:ascii="宋体" w:hAnsi="宋体" w:cs="宋体"/>
          <w:b/>
          <w:color w:val="000000"/>
          <w:sz w:val="24"/>
          <w:highlight w:val="none"/>
        </w:rPr>
        <w:t xml:space="preserve">每日工作内容表（净水站及抽排泵站）</w:t>
      </w:r>
      <w:r>
        <w:rPr>
          <w:rFonts w:ascii="宋体" w:hAnsi="宋体" w:cs="宋体"/>
          <w:color w:val="000000"/>
          <w:sz w:val="24"/>
          <w:highlight w:val="none"/>
        </w:rPr>
      </w:r>
      <w:r/>
    </w:p>
    <w:tbl>
      <w:tblPr>
        <w:tblW w:w="510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8"/>
      </w:tblGrid>
      <w:tr>
        <w:trPr>
          <w:trHeight w:val="273"/>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1.投加PAC、PAM、磁种（超磁工艺）</w:t>
            </w:r>
            <w:r>
              <w:rPr>
                <w:rFonts w:ascii="宋体" w:hAnsi="宋体" w:cs="宋体"/>
                <w:color w:val="000000"/>
                <w:sz w:val="24"/>
                <w:highlight w:val="none"/>
              </w:rPr>
            </w:r>
            <w:r/>
          </w:p>
        </w:tc>
      </w:tr>
      <w:tr>
        <w:trPr>
          <w:trHeight w:val="90"/>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2.对相关河道断面进行巡河，现场测量透明度、巡查排口是否有污水排出，并进行记录。</w:t>
            </w:r>
            <w:r>
              <w:rPr>
                <w:rFonts w:ascii="宋体" w:hAnsi="宋体" w:cs="宋体"/>
                <w:color w:val="000000"/>
                <w:sz w:val="24"/>
                <w:highlight w:val="none"/>
              </w:rPr>
            </w:r>
            <w:r/>
          </w:p>
        </w:tc>
      </w:tr>
      <w:tr>
        <w:trPr>
          <w:trHeight w:val="259"/>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3.设备末端总出水口取样并查看出水浊度，格栅间查看进水浊度，并做好相关记录。</w:t>
            </w:r>
            <w:r>
              <w:rPr>
                <w:rFonts w:ascii="宋体" w:hAnsi="宋体" w:cs="宋体"/>
                <w:color w:val="000000"/>
                <w:sz w:val="24"/>
                <w:highlight w:val="none"/>
              </w:rPr>
            </w:r>
            <w:r/>
          </w:p>
        </w:tc>
      </w:tr>
      <w:tr>
        <w:trPr>
          <w:trHeight w:val="418"/>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4.查看工艺设备、进水泵、加药泵、回用水泵、药剂制备装置运转声音是否正常；电压表、电流表、流量计、液位计读数是否正常。</w:t>
            </w:r>
            <w:r>
              <w:rPr>
                <w:rFonts w:ascii="宋体" w:hAnsi="宋体" w:cs="宋体"/>
                <w:color w:val="000000"/>
                <w:sz w:val="24"/>
                <w:highlight w:val="none"/>
              </w:rPr>
            </w:r>
            <w:r/>
          </w:p>
        </w:tc>
      </w:tr>
      <w:tr>
        <w:trPr>
          <w:trHeight w:val="568"/>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5.检查电机、减速机、轴承温度是否偏高，润滑油脂、机油液位是否正常；电气零部件、管道是否破损，隔膜泵、螺杆泵等运行是否正常，查看设备螺栓是否紧固。</w:t>
            </w:r>
            <w:r>
              <w:rPr>
                <w:rFonts w:ascii="宋体" w:hAnsi="宋体" w:cs="宋体"/>
                <w:color w:val="000000"/>
                <w:sz w:val="24"/>
                <w:highlight w:val="none"/>
              </w:rPr>
            </w:r>
            <w:r/>
          </w:p>
        </w:tc>
      </w:tr>
      <w:tr>
        <w:trPr>
          <w:trHeight w:val="556"/>
        </w:trPr>
        <w:tc>
          <w:tcPr>
            <w:tcW w:w="5000" w:type="dxa"/>
            <w:vAlign w:val="center"/>
            <w:textDirection w:val="lrTb"/>
            <w:noWrap w:val="false"/>
          </w:tcPr>
          <w:p>
            <w:pPr>
              <w:pStyle w:val="1005"/>
              <w:jc w:val="left"/>
              <w:widowControl/>
              <w:rPr>
                <w:rFonts w:ascii="宋体" w:hAnsi="宋体" w:eastAsia="等线" w:cs="宋体"/>
                <w:color w:val="000000"/>
                <w:sz w:val="24"/>
                <w:highlight w:val="none"/>
              </w:rPr>
            </w:pPr>
            <w:r>
              <w:rPr>
                <w:rFonts w:hint="eastAsia" w:ascii="宋体" w:hAnsi="宋体" w:cs="宋体"/>
                <w:color w:val="000000"/>
                <w:sz w:val="24"/>
                <w:highlight w:val="none"/>
              </w:rPr>
              <w:t xml:space="preserve">6.检查PAM螺杆泵、PAC隔膜泵、磁种泵、回用水泵等设备过滤器是否堵塞；查看河道推流器、曝气管、MBBR、MABR等装置是否正常工作（是否运行噪音过大）。</w:t>
            </w:r>
            <w:r>
              <w:rPr>
                <w:rFonts w:ascii="宋体" w:hAnsi="宋体" w:eastAsia="等线" w:cs="宋体"/>
                <w:color w:val="000000"/>
                <w:sz w:val="24"/>
                <w:highlight w:val="none"/>
              </w:rPr>
            </w:r>
            <w:r/>
          </w:p>
        </w:tc>
      </w:tr>
      <w:tr>
        <w:trPr>
          <w:trHeight w:val="564"/>
        </w:trPr>
        <w:tc>
          <w:tcPr>
            <w:tcW w:w="5000" w:type="dxa"/>
            <w:vAlign w:val="center"/>
            <w:textDirection w:val="lrTb"/>
            <w:noWrap w:val="false"/>
          </w:tcPr>
          <w:p>
            <w:pPr>
              <w:pStyle w:val="1005"/>
              <w:jc w:val="left"/>
              <w:widowControl/>
              <w:rPr>
                <w:rFonts w:ascii="宋体" w:hAnsi="宋体" w:eastAsia="等线" w:cs="宋体"/>
                <w:color w:val="000000"/>
                <w:sz w:val="24"/>
                <w:highlight w:val="none"/>
              </w:rPr>
            </w:pPr>
            <w:r>
              <w:rPr>
                <w:rFonts w:hint="eastAsia" w:ascii="宋体" w:hAnsi="宋体" w:cs="宋体"/>
                <w:color w:val="000000"/>
                <w:sz w:val="24"/>
                <w:highlight w:val="none"/>
              </w:rPr>
              <w:t xml:space="preserve">7.清理净水站进水口、人工格栅、机械格栅垃圾。查看东市河、西市河、锁桥河抽排泵站设施设备是否正常工作，若有故障及时上报。抽排泵站人工格栅及进水口垃圾及时清理。</w:t>
            </w:r>
            <w:r>
              <w:rPr>
                <w:rFonts w:ascii="宋体" w:hAnsi="宋体" w:eastAsia="等线" w:cs="宋体"/>
                <w:color w:val="000000"/>
                <w:sz w:val="24"/>
                <w:highlight w:val="none"/>
              </w:rPr>
            </w:r>
            <w:r/>
          </w:p>
        </w:tc>
      </w:tr>
      <w:tr>
        <w:trPr>
          <w:trHeight w:val="293"/>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8.如实填报当天的运行日报表。</w:t>
            </w:r>
            <w:r>
              <w:rPr>
                <w:rFonts w:ascii="宋体" w:hAnsi="宋体" w:cs="宋体"/>
                <w:color w:val="000000"/>
                <w:sz w:val="24"/>
                <w:highlight w:val="none"/>
              </w:rPr>
            </w:r>
            <w:r/>
          </w:p>
        </w:tc>
      </w:tr>
      <w:tr>
        <w:trPr>
          <w:trHeight w:val="555"/>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9.清理净水站车间内外工作场所绿化、设施、设备及操作场所的卫生，维护好抽排泵站及周边环境卫生。</w:t>
            </w:r>
            <w:r>
              <w:rPr>
                <w:rFonts w:ascii="宋体" w:hAnsi="宋体" w:cs="宋体"/>
                <w:color w:val="000000"/>
                <w:sz w:val="24"/>
                <w:highlight w:val="none"/>
              </w:rPr>
            </w:r>
            <w:r/>
          </w:p>
        </w:tc>
      </w:tr>
      <w:tr>
        <w:trPr>
          <w:trHeight w:val="405"/>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10.如实记录药剂使用量、自来水、电量等数据，逐步优化药剂的投加率（在甲方要求的范围内）。为月度装置进出水、药剂单耗的汇总分析及年度最优投加率、节能降耗报告积累数据。</w:t>
            </w:r>
            <w:r>
              <w:rPr>
                <w:rFonts w:ascii="宋体" w:hAnsi="宋体" w:cs="宋体"/>
                <w:color w:val="000000"/>
                <w:sz w:val="24"/>
                <w:highlight w:val="none"/>
              </w:rPr>
            </w:r>
            <w:r/>
          </w:p>
        </w:tc>
      </w:tr>
      <w:tr>
        <w:trPr>
          <w:trHeight w:val="405"/>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11.在浮泥（浮油）、水生植物等多发季节，按要求及时打捞处理。</w:t>
            </w:r>
            <w:r>
              <w:rPr>
                <w:rFonts w:ascii="宋体" w:hAnsi="宋体" w:cs="宋体"/>
                <w:color w:val="000000"/>
                <w:sz w:val="24"/>
                <w:highlight w:val="none"/>
              </w:rPr>
            </w:r>
            <w:r/>
          </w:p>
        </w:tc>
      </w:tr>
      <w:tr>
        <w:trPr>
          <w:trHeight w:val="405"/>
        </w:trPr>
        <w:tc>
          <w:tcPr>
            <w:tcW w:w="5000" w:type="dxa"/>
            <w:vAlign w:val="center"/>
            <w:textDirection w:val="lrTb"/>
            <w:noWrap w:val="false"/>
          </w:tcPr>
          <w:p>
            <w:pPr>
              <w:pStyle w:val="1005"/>
              <w:jc w:val="left"/>
              <w:widowControl/>
              <w:rPr>
                <w:rFonts w:ascii="宋体" w:hAnsi="宋体" w:cs="宋体"/>
                <w:color w:val="000000"/>
                <w:sz w:val="24"/>
                <w:highlight w:val="none"/>
              </w:rPr>
            </w:pPr>
            <w:r>
              <w:rPr>
                <w:rFonts w:hint="eastAsia" w:ascii="宋体" w:hAnsi="宋体" w:cs="宋体"/>
                <w:color w:val="000000"/>
                <w:sz w:val="24"/>
                <w:highlight w:val="none"/>
              </w:rPr>
              <w:t xml:space="preserve">12.净水站及抽排泵站、河道装置设施设备等故障后，及时上报甲方（做好台账记录）且乙方应按照</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乙方负责的维修工作内容清单</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要求及时维修。</w:t>
            </w:r>
            <w:r>
              <w:rPr>
                <w:rFonts w:ascii="宋体" w:hAnsi="宋体" w:cs="宋体"/>
                <w:color w:val="000000"/>
                <w:sz w:val="24"/>
                <w:highlight w:val="none"/>
              </w:rPr>
            </w:r>
            <w:r/>
          </w:p>
        </w:tc>
      </w:tr>
    </w:tbl>
    <w:p>
      <w:pPr>
        <w:pStyle w:val="1005"/>
        <w:ind w:firstLine="482"/>
        <w:jc w:val="left"/>
        <w:spacing w:line="360" w:lineRule="auto"/>
        <w:widowControl/>
        <w:tabs>
          <w:tab w:val="left" w:pos="1117" w:leader="none"/>
        </w:tabs>
        <w:rPr>
          <w:rFonts w:hint="eastAsia" w:ascii="宋体" w:hAnsi="宋体"/>
          <w:color w:val="000000"/>
          <w:sz w:val="24"/>
          <w:highlight w:val="none"/>
        </w:rPr>
      </w:pPr>
      <w:r>
        <w:rPr>
          <w:rFonts w:hint="eastAsia" w:ascii="宋体" w:hAnsi="宋体"/>
          <w:b/>
          <w:bCs/>
          <w:color w:val="000000"/>
          <w:sz w:val="24"/>
          <w:highlight w:val="none"/>
        </w:rPr>
        <w:t xml:space="preserve">说明：</w:t>
      </w:r>
      <w:r>
        <w:rPr>
          <w:rFonts w:hint="eastAsia" w:ascii="宋体" w:hAnsi="宋体"/>
          <w:color w:val="000000"/>
          <w:sz w:val="24"/>
          <w:highlight w:val="none"/>
        </w:rPr>
        <w:t xml:space="preserve">上述表格内容为每天巡检事项，若发现各类设备、电气、仪表无法正常工作，电机、减速机、轴承温度过</w:t>
      </w:r>
      <w:r>
        <w:rPr>
          <w:rFonts w:hint="eastAsia" w:ascii="宋体" w:hAnsi="宋体"/>
          <w:color w:val="000000"/>
          <w:sz w:val="24"/>
          <w:highlight w:val="none"/>
        </w:rPr>
        <w:t xml:space="preserve">高，出水浑浊等情况，应立即告知甲方，由甲方指导，乙方配合处理；若发现润滑油、脂低于正常刻度，管道漏水，过滤器堵塞，常规电气损坏等情况，乙方自行添加润滑油、机油，更换管道及常规电气配件，定时查看PAC、PAM、磁种用量并及时投加。人工格栅清理工具及垃圾箱、维护保养工具（内六角扳手、套筒扳手、活动扳手、老虎钳、尖嘴钳、管子钳、各类螺丝刀、验电笔、万用表、机油加油枪、润滑油加油枪等）、河道清理船舶、河道捞垃圾的斗和耙子、黄油、机油、PAC、PAM、磁种均由乙方自备且甲方不另行支付费用（相关费用已包含在总费用中）。</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2.运行质量标准</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按照系统工艺要求，当进水SS&lt;100mg/l且浊度＜100NTU，运行出水考核指标pH=6-9，SS≤10mg/l，浊度≤10NTU，TP≤0.2mg/l，透明度≥100cm或见底(河道出水口)。</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3.服务要求</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乙方必须严格按照超磁系统运行工艺操作规程进行各项运行操作，遵守甲方的各项制度和管理规定，并服从管理；</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乙方必须严格执行《劳动法》用工工作时间及工资标准的有关规定，并承担其雇员的劳动报酬、福利待遇、按劳动法缴纳社会保险、劳动保护、工伤抚恤等用人费用，承担未正确执行劳动法用工规定所产生的法律责任；</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辅助工艺管线、过滤器、滤网、PAM制药装置的隔仓（包括液位计探头）清洗、加黄油机油甘油、更换磁种泵软管、清洗回水泵过滤网、控制柜的除灰除尘、抽排泵站捞垃圾、河道装置清理树枝树叶等日常保养均由乙方负责；《乙方负责的维修工作内容清单》涉及的净水站、抽排泵站、河道装置的设施设备等维修工作（相关费用已纳入总费用中），由乙方负责。 </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乙方每天须按甲方要求路线沿补水河道进行巡查，相关河道设施进行查看是否正常工作、沿河排口是否有污水排出、测量河道断面透明度、外河透明度，并进行拍照上传、做好相关台账记录，有异常情况及时拍照、拍视频并电话联系甲方相关管理人员。</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乙方需按照甲方的要求对抽排泵站及净水站进水口、人工格栅、机械格栅、压榨机等进行清理，对沿河设备上的树枝、树叶等进行清理。</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4.现场操作人员配置要求</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净水站运维社会化服务设置1名项目负责人，1名技术负责人及不少于14名操作工。</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（1）项目负责人基本要求：男性，身体健康，语言表达能力强，具有一定的工作组织和沟通协调能力。了解水处理工艺原理及技术，具有一定的分析、写作能力，熟练掌握Word、Excel、ppt等办公软件。</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（2）技术负责人基本要求：男性，身体健康，具有丰富的机电设备维修/保养经验。</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（3）操作工基本要求：男性，身体健康，年龄≤55周岁。能通过培训掌握净水站运行涉及的所有操作内容，具有电工证的最佳。</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 合同签订后一个月内乙方必须提供为所派人员办理的100万（含）以上保额的雇主险证明。</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乙方必须保证所派员工的稳定性，不得随意调整或更换在岗运行人员，调整或更换人员必须在满足招标文件人员要求的前提下，事先以书面形式向甲方报备，并获得甲方同意。</w:t>
      </w:r>
      <w:r>
        <w:rPr>
          <w:rFonts w:hint="eastAsia" w:ascii="宋体" w:hAnsi="宋体"/>
          <w:color w:val="000000"/>
          <w:sz w:val="24"/>
          <w:highlight w:val="none"/>
        </w:rPr>
      </w:r>
      <w:r/>
    </w:p>
    <w:p>
      <w:pPr>
        <w:pStyle w:val="1005"/>
        <w:ind w:firstLine="482"/>
        <w:jc w:val="left"/>
        <w:spacing w:line="360" w:lineRule="auto"/>
        <w:widowControl/>
        <w:tabs>
          <w:tab w:val="left" w:pos="1117" w:leader="none"/>
        </w:tabs>
        <w:rPr>
          <w:rFonts w:hint="eastAsia" w:ascii="宋体" w:hAnsi="宋体"/>
          <w:b/>
          <w:bCs/>
          <w:color w:val="000000"/>
          <w:sz w:val="24"/>
          <w:highlight w:val="none"/>
        </w:rPr>
      </w:pPr>
      <w:r>
        <w:rPr>
          <w:rFonts w:hint="eastAsia" w:ascii="宋体" w:hAnsi="宋体"/>
          <w:b/>
          <w:bCs/>
          <w:color w:val="000000"/>
          <w:sz w:val="24"/>
          <w:highlight w:val="none"/>
        </w:rPr>
        <w:t xml:space="preserve">二、运行维护要求</w:t>
      </w:r>
      <w:r>
        <w:rPr>
          <w:rFonts w:hint="eastAsia" w:ascii="宋体" w:hAnsi="宋体"/>
          <w:b/>
          <w:bCs/>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1.每天清理广化桥、椿桂园、青山绿地、五星、双桥、章家浜、三宝浜七个净水站的进水口、机械格栅、人工格栅的垃圾，另外根据甲方要求定期清理东市河、西市河、锁桥河三个抽排泵站进水口及人工格栅以及河道推流器、景观喷泉等装置的表面附着垃圾，检查电柜接线端子是否松动，查看设备是否存在漏电现象，并予以处理。在汛期根据水位情况及时做好造流曝气机设备的停机及调整设备安装高度（四个蓝色浮子不能在水面以下）；定期检查椿桂园景观出水水泵是否完好，并及时向泵站所汇报。</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2.按照甲方要求，每日定时开启各个河道设备（造流曝气机、景观喷泉、景观水泵、增氧盘等），并定期巡视设备的运行状况。</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3.做好每日设备运行维护台账。</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4.提前做好在雨天、大风等极端天气时的设备运行应急预案。</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5.河道推流器等相关设备维护及打捞浮泥、浮油过程、应急打捞处置水生植物中用到的船只、救生设备等均由乙方自备，船只使用等相关手续由乙方自行办理，甲方提供协助。</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6.在汛期大雨、暴雨及短时强降雨，密切关注净水站进水闸门的状态（每年汛期前进水闸门进行一次保养），有异常及时电话汇报。</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7.乙方在提供服务前须与甲方签订安全生产协议，乙方有义务接受甲方及有关部门的工作监督和安全检查，有义务配合甲方接受媒体采访。乙方需定期的组织操作人员进行安全演练（至少1年1次），突发事件的处理、消防知识的学习，设备运行时的安全检查，电气零部件安全操作培训等。</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8.必须严格按照水处理工艺操作规程进行各项运行操作，遵守甲方的各项制度和管理规定，并服从管理。</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9.必须保证泵站内卫生及泵站外周边工作区域内的清洁卫生。</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10.设备巡检注意事项</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（1）做好设备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表面工作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，以设备清洁为起点，对设备表面存在的脏、乱、油等问题进行全面清理，改善现场面貌。</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（2）应每天检查减速机运行情况，油位是否在规定油线处，如机油不足时补充油位到视镜上下限之间，注意机油不能过量加入，以免影响散热，而且易溢出。</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（3）每2小时巡检螺旋输送密封盘根是否漏液，如有发现及时紧固4颗压盘螺栓。</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（4）每2小时检查隔膜泵的运行情况：包括电机运行是否正常，进出口法兰及连接是否有松动情况，进出口管道有无破损泄漏，如有及时维护或更换以防患于未然。</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（5）对Y型过滤器及时进行清洗，</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保证流量准确。</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（6）运行过程中要每周对设备固定螺栓或运行部件进行检查，并作相应的紧固和调整。</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（7）运行过程中注意各电气设备运行是否正常，如出现过热等情况应及时通知所部电工到场检查处理，若不能恢复，则通知设备员联系外协处理。</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（8）每周检查一次主机、辅机等黄油是否添加到油嘴有油冒出，否则继续添加。</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（9）每15天给齿轮涂抹润滑脂，保证传动正常。</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（10）加大重点设备（超磁主机、辅机、絮团分散机、PAM制药装置）的巡查频次，注意声音及减速机的温度。</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（11）定期检查PAM制药装置，及时进行设备清堵清洁，含液位计清洁以减少失真故障。</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（12）每月对浊度仪探头进行清洗，减少仪表失真故障。</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（13）每月对沿河装置的断树枝等垃圾进行清理。</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3.其他要求</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3.1每月对装置及河道进行水质、药剂单耗等进行汇总统计。</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3.2针对不同季节、枯水期汛期、白天黑夜、大中小雨对药剂的投加率进行摸索，进行调整。</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3.3在日常运维工作中，不断开展节能降耗工作。</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乙方负责的维修工作内容清单</w:t>
      </w:r>
      <w:r>
        <w:rPr>
          <w:rFonts w:hint="eastAsia" w:ascii="宋体" w:hAnsi="宋体"/>
          <w:color w:val="000000"/>
          <w:sz w:val="24"/>
          <w:highlight w:val="none"/>
        </w:rPr>
      </w:r>
      <w:r/>
    </w:p>
    <w:tbl>
      <w:tblPr>
        <w:tblW w:w="8636"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76"/>
        <w:gridCol w:w="2280"/>
        <w:gridCol w:w="3960"/>
        <w:gridCol w:w="1620"/>
      </w:tblGrid>
      <w:tr>
        <w:trPr>
          <w:trHeight w:val="376"/>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维修内容</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规格型号或其他说明</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推荐品牌</w:t>
            </w:r>
            <w:r>
              <w:rPr>
                <w:rFonts w:ascii="宋体" w:hAnsi="宋体" w:cs="宋体"/>
                <w:b/>
                <w:bCs/>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防火封堵</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有需封堵点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rPr>
                <w:rFonts w:ascii="宋体" w:hAnsi="宋体" w:cs="宋体"/>
                <w:b/>
                <w:bCs/>
                <w:color w:val="000000"/>
                <w:sz w:val="24"/>
                <w:highlight w:val="none"/>
              </w:rPr>
            </w:pPr>
            <w:r>
              <w:rPr>
                <w:rFonts w:ascii="宋体" w:hAnsi="宋体" w:cs="宋体"/>
                <w:b/>
                <w:bCs/>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可视化电缆盖板</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600*600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铰链/锁扣维修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适用各类控制柜、低压动力柜、按钮箱、转接箱、开关箱</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塑壳断路器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NSX160N/3P TMD 80~250A(以下、含250A)</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施耐德/ABB/西门子</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塑壳断路器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CM3-400L/3300；225~400A以下(含、400A)</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塑壳断路器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CM3-400L/3340；225~400A；带分励辅助（以下、含400A）</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微型断路器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iC65N 1P C16~100A（以下/含100A）</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施耐德/ABB/西门子</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开关面板、插座</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照明灯具（含应急照明）、应急指示牌</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熔断器及熔座</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指示灯、旋钮、按钮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转换开关、限位开关</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适配现有型号及档位</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电流互感器、电压互感器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低压系统</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多功能表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ZEF96L LED 5A</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电压表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6L2-V-0-250(450)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电流表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6L2-A-5~4000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控制柜内智能除湿器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中间继电器(含底座)</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24V及以下电源模块及电源适配器维修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现有型号规格或兼容型号规适；不含专业电源（如PLC专用供电模块等），安防设备电源维修仅含泵站场地内。</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控制变压器、隔离变压器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控制柜通风风机</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交流接触器（含辅助触点）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热继电器(含底座)</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水泵综合保护器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启动电容器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220V绕组电机</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配电箱体(壳)</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PZ30-15S；锌板；喷塑；含盖</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配电箱体(壳)</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600*800(H)*200；S304；喷塑（及以下）</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一次端子、二次端子</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不分型号（控制柜内）</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一次导线、二次导线</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不分型号(含铜鼻子)</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卷帘门按钮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混流风机（含构筑物换气扇）</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单层百叶风口</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门板焊接</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漏保微型断路器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4P （及以下）；100A及以下</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电动机热磁断路器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GV2ME06~16；1~14A</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施耐德</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固定式交流接触器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170A；AC；2NO+2NC（及以下）</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施耐德</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导轨式交流接触器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63A；AC；2NO+2NC（及以下）</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浪涌保护器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39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绝缘子</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M10及以内综合</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继电器模组</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LC-16NG8C-D24（低压系统）</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温控仪表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智能温控器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12V蓄电池</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模数化插座</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电气导轨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环氧板</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3mm及以下；</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钢化玻璃</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6mm及以下；</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有机玻璃</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6mm及以下；</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变频器调速电阻</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现有控制柜绝缘挡板</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变频器维修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5.5KW以下（含5.5KW）</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施耐德/ABB/西门子</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软启动器维修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5.5KW以下（含5.5KW）</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ABB/施耐德/西门子</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模拟量隔离器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现有型号规格或兼容型号规适</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24V避雷器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PAD-24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薄片继电器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PLC-RSC-24DC/21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菲尼克斯</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水泵中转柜</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不锈钢；950*500*250mm</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成组电缆液位浮球液位开关</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SL-PG2-1.5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不锈钢保护罩</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450*450*10mm；厚度2mm</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水温传感器、转速传感器、油压传感器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压力表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减压阀</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卫生洁具（含单相泵）</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管道、穿线管局部更换</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现场适配，镀锌管DN50以下</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水龙头</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不分大小</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PVC水阀</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现有尺寸</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PPR水阀</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现有尺寸</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闸阀</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DN100以下（含100）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球阀</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DN100以下（含100）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69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止回阀</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DN100以下（含100）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波纹补偿器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DN100以下（含100）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5.5KW以下电机</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电机传动联轴器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电机冷却风机</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电机冷却风叶</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电机接线柱</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电机接线盒</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螺栓（丝）、螺帽零星更换</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磁种泵膜片</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79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PAC膜片</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隔膜泵安全阀</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搅拌机桨叶</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适配现有型号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超磁分离机辅机</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负责辅机两段轴承的维修更换</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格栅及压榨机维修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轴承、链条</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国产优质</w:t>
            </w:r>
            <w:r>
              <w:rPr>
                <w:rFonts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设备本体、各类金属容器及现场金属管道破裂、渗漏的应急封堵处置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浸入式探测器</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8孔百/千兆小型交换机</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ascii="宋体" w:hAnsi="宋体" w:cs="宋体"/>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泵站内网络线路维修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水晶头制作；更换网线；不含需开挖放线工作；不含河道摄像头、录像机相关网络维修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88</w:t>
            </w:r>
            <w:r>
              <w:rPr>
                <w:rFonts w:ascii="宋体" w:hAnsi="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设备信号、供电电缆（线）</w:t>
            </w:r>
            <w:r>
              <w:rPr>
                <w:rFonts w:ascii="宋体" w:hAnsi="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净水站构筑物内，不含需开挖的放线工作；不含净水站进出水水泵、电动闸门线路</w:t>
            </w:r>
            <w:r>
              <w:rPr>
                <w:rFonts w:ascii="宋体" w:hAnsi="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6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89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房屋建筑设施漏水应急处置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应急防水封堵</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rPr>
                <w:rFonts w:ascii="宋体" w:hAnsi="宋体" w:cs="宋体"/>
                <w:color w:val="000000"/>
                <w:sz w:val="24"/>
                <w:highlight w:val="none"/>
              </w:rPr>
            </w:pPr>
            <w:r>
              <w:rPr>
                <w:rFonts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90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河道设备维修</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1005"/>
              <w:jc w:val="center"/>
              <w:widowControl/>
              <w:rPr>
                <w:rFonts w:ascii="宋体" w:hAnsi="宋体" w:cs="宋体"/>
                <w:color w:val="000000"/>
                <w:sz w:val="24"/>
                <w:highlight w:val="none"/>
              </w:rPr>
            </w:pPr>
            <w:r>
              <w:rPr>
                <w:rFonts w:hint="eastAsia" w:ascii="宋体" w:hAnsi="宋体" w:cs="宋体"/>
                <w:color w:val="000000"/>
                <w:sz w:val="24"/>
                <w:highlight w:val="none"/>
              </w:rPr>
              <w:t xml:space="preserve">曝气推流机及其相关设备控制柜内电气原件（参考表内内容）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05"/>
              <w:jc w:val="center"/>
              <w:widowControl/>
              <w:rPr>
                <w:rFonts w:ascii="宋体" w:hAnsi="宋体" w:cs="宋体"/>
                <w:color w:val="000000"/>
                <w:sz w:val="24"/>
                <w:highlight w:val="none"/>
              </w:rPr>
            </w:pPr>
            <w:r>
              <w:rPr>
                <w:rFonts w:ascii="宋体" w:hAnsi="宋体" w:cs="宋体"/>
                <w:color w:val="000000"/>
                <w:sz w:val="24"/>
                <w:highlight w:val="none"/>
              </w:rPr>
            </w:r>
            <w:r/>
          </w:p>
        </w:tc>
      </w:tr>
    </w:tbl>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1.乙方在发现设备故障时，应及时查明故障原因并排除故障，确需维修的，乙方根据上述表格内容进行维修；上述表格暂未列明的维修内容，乙方仍有义务对故障原因进行排查，并配合甲方及甲方安排的第三方进行维修工作。</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2.甲方有权根据实际需要对上述清单内容进行调整。</w:t>
      </w:r>
      <w:r>
        <w:rPr>
          <w:rFonts w:hint="eastAsia" w:ascii="宋体" w:hAnsi="宋体"/>
          <w:color w:val="000000"/>
          <w:sz w:val="24"/>
          <w:highlight w:val="none"/>
        </w:rPr>
      </w:r>
      <w:r/>
    </w:p>
    <w:p>
      <w:pPr>
        <w:pStyle w:val="1005"/>
        <w:ind w:firstLine="480"/>
        <w:jc w:val="left"/>
        <w:spacing w:line="360" w:lineRule="auto"/>
        <w:widowControl/>
        <w:tabs>
          <w:tab w:val="left" w:pos="1117" w:leader="none"/>
        </w:tabs>
        <w:rPr>
          <w:rFonts w:hint="eastAsia" w:ascii="宋体" w:hAnsi="宋体"/>
          <w:color w:val="000000"/>
          <w:sz w:val="24"/>
          <w:highlight w:val="none"/>
        </w:rPr>
      </w:pPr>
      <w:r>
        <w:rPr>
          <w:rFonts w:hint="eastAsia" w:ascii="宋体" w:hAnsi="宋体"/>
          <w:color w:val="000000"/>
          <w:sz w:val="24"/>
          <w:highlight w:val="none"/>
        </w:rPr>
        <w:t xml:space="preserve">3.乙方在实际维修过程中，单项维修费用过高时（一般排除乙方自身人工成本后，费用在2000元以上），乙方可向甲方提交情况说明及报价单等材料，双方协商解决。</w:t>
      </w:r>
      <w:r>
        <w:rPr>
          <w:rFonts w:hint="eastAsia" w:ascii="宋体" w:hAnsi="宋体"/>
          <w:color w:val="000000"/>
          <w:sz w:val="24"/>
          <w:highlight w:val="none"/>
        </w:rPr>
      </w:r>
      <w:r/>
    </w:p>
    <w:p>
      <w:pPr>
        <w:pStyle w:val="1005"/>
        <w:jc w:val="left"/>
        <w:spacing w:line="360" w:lineRule="auto"/>
        <w:widowControl/>
        <w:rPr>
          <w:rStyle w:val="1085"/>
          <w:color w:val="000000"/>
          <w:sz w:val="24"/>
          <w:highlight w:val="none"/>
        </w:rPr>
        <w:outlineLvl w:val="1"/>
      </w:pPr>
      <w:r>
        <w:rPr>
          <w:rFonts w:ascii="宋体" w:hAnsi="宋体"/>
          <w:b/>
          <w:color w:val="000000"/>
          <w:sz w:val="24"/>
          <w:highlight w:val="none"/>
        </w:rPr>
        <w:br w:type="page" w:clear="all"/>
      </w:r>
      <w:r>
        <w:rPr>
          <w:rFonts w:ascii="宋体" w:hAnsi="宋体"/>
          <w:b/>
          <w:color w:val="000000"/>
          <w:sz w:val="24"/>
          <w:highlight w:val="none"/>
        </w:rPr>
        <w:t xml:space="preserve">附件</w:t>
      </w:r>
      <w:r>
        <w:rPr>
          <w:rFonts w:hint="eastAsia" w:ascii="宋体" w:hAnsi="宋体"/>
          <w:b/>
          <w:color w:val="000000"/>
          <w:sz w:val="24"/>
          <w:highlight w:val="none"/>
        </w:rPr>
        <w:t xml:space="preserve">2</w:t>
      </w:r>
      <w:r>
        <w:rPr>
          <w:rFonts w:ascii="宋体" w:hAnsi="宋体"/>
          <w:b/>
          <w:color w:val="000000"/>
          <w:sz w:val="24"/>
          <w:highlight w:val="none"/>
        </w:rPr>
        <w:t xml:space="preserve">：</w:t>
      </w:r>
      <w:r>
        <w:rPr>
          <w:rFonts w:hint="eastAsia" w:ascii="宋体" w:hAnsi="宋体"/>
          <w:b/>
          <w:color w:val="000000"/>
          <w:sz w:val="24"/>
          <w:highlight w:val="none"/>
        </w:rPr>
        <w:t xml:space="preserve">服务项目月度考核表</w:t>
      </w:r>
      <w:r>
        <w:rPr>
          <w:rStyle w:val="1085"/>
          <w:color w:val="000000"/>
          <w:sz w:val="24"/>
          <w:highlight w:val="none"/>
        </w:rPr>
      </w:r>
      <w:r/>
    </w:p>
    <w:tbl>
      <w:tblPr>
        <w:tblW w:w="948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11"/>
        <w:gridCol w:w="7183"/>
        <w:gridCol w:w="1186"/>
      </w:tblGrid>
      <w:tr>
        <w:trPr>
          <w:trHeight w:val="462"/>
        </w:trPr>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1005"/>
              <w:jc w:val="center"/>
              <w:widowControl/>
              <w:rPr>
                <w:rFonts w:ascii="宋体" w:hAnsi="宋体" w:cs="宋体"/>
                <w:b/>
                <w:bCs/>
                <w:color w:val="000000"/>
                <w:highlight w:val="none"/>
              </w:rPr>
            </w:pPr>
            <w:r>
              <w:rPr>
                <w:rFonts w:hint="eastAsia" w:ascii="宋体" w:hAnsi="宋体" w:cs="宋体"/>
                <w:b/>
                <w:bCs/>
                <w:color w:val="000000"/>
                <w:highlight w:val="none"/>
              </w:rPr>
              <w:t xml:space="preserve">项目</w:t>
            </w:r>
            <w:r>
              <w:rPr>
                <w:rFonts w:ascii="宋体" w:hAnsi="宋体"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7183" w:type="dxa"/>
            <w:vAlign w:val="center"/>
            <w:textDirection w:val="lrTb"/>
            <w:noWrap w:val="false"/>
          </w:tcPr>
          <w:p>
            <w:pPr>
              <w:pStyle w:val="1005"/>
              <w:jc w:val="center"/>
              <w:widowControl/>
              <w:rPr>
                <w:rFonts w:ascii="宋体" w:hAnsi="宋体" w:cs="宋体"/>
                <w:b/>
                <w:bCs/>
                <w:color w:val="000000"/>
                <w:highlight w:val="none"/>
              </w:rPr>
            </w:pPr>
            <w:r>
              <w:rPr>
                <w:rFonts w:hint="eastAsia" w:ascii="宋体" w:hAnsi="宋体" w:cs="宋体"/>
                <w:b/>
                <w:bCs/>
                <w:color w:val="000000"/>
                <w:highlight w:val="none"/>
              </w:rPr>
              <w:t xml:space="preserve">考核标准及要求</w:t>
            </w:r>
            <w:r>
              <w:rPr>
                <w:rFonts w:ascii="宋体" w:hAnsi="宋体"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1005"/>
              <w:jc w:val="center"/>
              <w:widowControl/>
              <w:rPr>
                <w:rFonts w:ascii="宋体" w:hAnsi="宋体" w:cs="宋体"/>
                <w:b/>
                <w:bCs/>
                <w:color w:val="000000"/>
                <w:highlight w:val="none"/>
              </w:rPr>
            </w:pPr>
            <w:r>
              <w:rPr>
                <w:rFonts w:hint="eastAsia" w:ascii="宋体" w:hAnsi="宋体" w:cs="宋体"/>
                <w:b/>
                <w:bCs/>
                <w:color w:val="000000"/>
                <w:highlight w:val="none"/>
              </w:rPr>
              <w:t xml:space="preserve">考核分数</w:t>
            </w:r>
            <w:r>
              <w:rPr>
                <w:rFonts w:ascii="宋体" w:hAnsi="宋体" w:cs="宋体"/>
                <w:b/>
                <w:bCs/>
                <w:color w:val="000000"/>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水质、水电单耗管理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183" w:type="dxa"/>
            <w:vAlign w:val="center"/>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1.当进水水质浊度＜100NTU且SS＜100mg/L时，</w:t>
            </w:r>
            <w:r>
              <w:rPr>
                <w:rFonts w:hint="eastAsia" w:ascii="宋体" w:hAnsi="宋体" w:cs="宋体"/>
                <w:color w:val="000000"/>
                <w:highlight w:val="none"/>
              </w:rPr>
              <w:t xml:space="preserve">出水水质应达到如下标准：河道补水口透明度≥100cm或见底、浊度≤10NTU、SS≤10mg/L、TP≤0.2mg/L。</w:t>
            </w:r>
            <w:r>
              <w:rPr>
                <w:rFonts w:ascii="宋体" w:hAnsi="宋体" w:cs="宋体"/>
                <w:color w:val="000000"/>
                <w:highlight w:val="none"/>
              </w:rPr>
            </w:r>
            <w:r/>
          </w:p>
          <w:p>
            <w:pPr>
              <w:pStyle w:val="1005"/>
              <w:jc w:val="left"/>
              <w:widowControl/>
              <w:rPr>
                <w:rFonts w:ascii="宋体" w:hAnsi="宋体" w:cs="宋体"/>
                <w:color w:val="000000"/>
                <w:highlight w:val="none"/>
              </w:rPr>
            </w:pPr>
            <w:r>
              <w:rPr>
                <w:rFonts w:hint="eastAsia" w:ascii="宋体" w:hAnsi="宋体" w:cs="宋体"/>
                <w:color w:val="000000"/>
                <w:highlight w:val="none"/>
              </w:rPr>
              <w:t xml:space="preserve">甲方随机对出水采样检查，透明度、TP出现一次不达标扣除0.5分，浊度、SS出现一次不达标扣除1分。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vMerge w:val="restart"/>
            <w:textDirection w:val="lrTb"/>
            <w:noWrap w:val="false"/>
          </w:tcPr>
          <w:p>
            <w:pPr>
              <w:pStyle w:val="1005"/>
              <w:jc w:val="left"/>
              <w:rPr>
                <w:rFonts w:ascii="宋体" w:hAnsi="宋体" w:cs="宋体"/>
                <w:color w:val="000000"/>
                <w:highlight w:val="none"/>
              </w:rPr>
            </w:pPr>
            <w:r>
              <w:rPr>
                <w:rFonts w:ascii="宋体" w:hAnsi="宋体" w:cs="宋体"/>
                <w:color w:val="000000"/>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pStyle w:val="1005"/>
              <w:jc w:val="left"/>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183" w:type="dxa"/>
            <w:vAlign w:val="center"/>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2.电单耗≤0.08kW.h/吨水，自来水单耗≤0.002吨/吨水。</w:t>
            </w:r>
            <w:r>
              <w:rPr>
                <w:rFonts w:ascii="宋体" w:hAnsi="宋体" w:cs="宋体"/>
                <w:color w:val="000000"/>
                <w:highlight w:val="none"/>
              </w:rPr>
            </w:r>
            <w:r/>
          </w:p>
          <w:p>
            <w:pPr>
              <w:pStyle w:val="1005"/>
              <w:jc w:val="left"/>
              <w:widowControl/>
              <w:rPr>
                <w:rFonts w:ascii="宋体" w:hAnsi="宋体" w:cs="宋体"/>
                <w:color w:val="000000"/>
                <w:highlight w:val="none"/>
              </w:rPr>
            </w:pPr>
            <w:r>
              <w:rPr>
                <w:rFonts w:hint="eastAsia" w:ascii="宋体" w:hAnsi="宋体" w:cs="宋体"/>
                <w:color w:val="000000"/>
                <w:highlight w:val="none"/>
              </w:rPr>
              <w:t xml:space="preserve">甲方每月按泵站进行考核，每出现1个泵站单耗超标对应扣1分；超标严重(&gt;50%)，按合同第七条扣款（不再另行扣分，扣款金额按超出单耗部分对应电/自来水量*当月泵站对应电/自来水单价计算）。</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pStyle w:val="1005"/>
              <w:jc w:val="left"/>
              <w:rPr>
                <w:rFonts w:ascii="宋体" w:hAnsi="宋体" w:cs="宋体"/>
                <w:color w:val="000000"/>
                <w:highlight w:val="none"/>
              </w:rPr>
            </w:pPr>
            <w:r>
              <w:rPr>
                <w:rFonts w:ascii="宋体" w:hAnsi="宋体" w:cs="宋体"/>
                <w:color w:val="000000"/>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pStyle w:val="1005"/>
              <w:jc w:val="left"/>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183" w:type="dxa"/>
            <w:vAlign w:val="center"/>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3.每月完成对装置进出水、药剂单耗、水电消耗的统计汇总，未完成扣5分。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pStyle w:val="1005"/>
              <w:jc w:val="left"/>
              <w:rPr>
                <w:rFonts w:ascii="宋体" w:hAnsi="宋体" w:cs="宋体"/>
                <w:color w:val="000000"/>
                <w:highlight w:val="none"/>
              </w:rPr>
            </w:pPr>
            <w:r>
              <w:rPr>
                <w:rFonts w:ascii="宋体" w:hAnsi="宋体" w:cs="宋体"/>
                <w:color w:val="000000"/>
                <w:highlight w:val="none"/>
              </w:rPr>
            </w:r>
            <w:r/>
          </w:p>
        </w:tc>
      </w:tr>
      <w:tr>
        <w:trPr>
          <w:trHeight w:val="325"/>
        </w:trPr>
        <w:tc>
          <w:tcPr>
            <w:tcBorders>
              <w:top w:val="single" w:color="000000" w:sz="4" w:space="0"/>
              <w:left w:val="single" w:color="000000" w:sz="4" w:space="0"/>
              <w:bottom w:val="none" w:color="000000" w:sz="0" w:space="0"/>
              <w:right w:val="single" w:color="000000" w:sz="4" w:space="0"/>
            </w:tcBorders>
            <w:tcW w:w="1111" w:type="dxa"/>
            <w:vAlign w:val="center"/>
            <w:vMerge w:val="restart"/>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安全管理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183" w:type="dxa"/>
            <w:vAlign w:val="center"/>
            <w:textDirection w:val="lrTb"/>
            <w:noWrap w:val="false"/>
          </w:tcPr>
          <w:p>
            <w:pPr>
              <w:pStyle w:val="1005"/>
              <w:jc w:val="left"/>
              <w:widowControl/>
              <w:rPr>
                <w:rFonts w:ascii="宋体" w:hAnsi="宋体" w:cs="宋体"/>
                <w:color w:val="000000"/>
                <w:highlight w:val="none"/>
              </w:rPr>
            </w:pPr>
            <w:r>
              <w:rPr>
                <w:rFonts w:hint="eastAsia" w:ascii="宋体" w:hAnsi="宋体"/>
                <w:color w:val="000000"/>
                <w:highlight w:val="none"/>
              </w:rPr>
              <w:t xml:space="preserve">1.关键事项（如特种作业）严格执行安全管理规定，无违章操作，发现1次扣3分。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1005"/>
              <w:jc w:val="left"/>
              <w:rPr>
                <w:rFonts w:ascii="宋体" w:hAnsi="宋体" w:cs="宋体"/>
                <w:color w:val="000000"/>
                <w:highlight w:val="none"/>
              </w:rPr>
            </w:pPr>
            <w:r>
              <w:rPr>
                <w:rFonts w:ascii="宋体" w:hAnsi="宋体" w:cs="宋体"/>
                <w:color w:val="000000"/>
                <w:highlight w:val="none"/>
              </w:rPr>
            </w:r>
            <w:r/>
          </w:p>
        </w:tc>
      </w:tr>
      <w:tr>
        <w:trPr>
          <w:trHeight w:val="325"/>
        </w:trPr>
        <w:tc>
          <w:tcPr>
            <w:tcBorders>
              <w:top w:val="none" w:color="000000" w:sz="0" w:space="0"/>
              <w:left w:val="single" w:color="000000" w:sz="4" w:space="0"/>
              <w:bottom w:val="none" w:color="000000" w:sz="0" w:space="0"/>
              <w:right w:val="single" w:color="000000" w:sz="4" w:space="0"/>
            </w:tcBorders>
            <w:tcW w:w="1111" w:type="dxa"/>
            <w:vAlign w:val="center"/>
            <w:vMerge w:val="continue"/>
            <w:textDirection w:val="lrTb"/>
            <w:noWrap w:val="false"/>
          </w:tcPr>
          <w:p>
            <w:pPr>
              <w:pStyle w:val="1005"/>
              <w:jc w:val="left"/>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183" w:type="dxa"/>
            <w:vAlign w:val="center"/>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2.严格遵守现场的操作规程</w:t>
            </w:r>
            <w:r>
              <w:rPr>
                <w:rFonts w:hint="eastAsia" w:ascii="宋体" w:hAnsi="宋体"/>
                <w:color w:val="000000"/>
                <w:highlight w:val="none"/>
              </w:rPr>
              <w:t xml:space="preserve">巡检设施设备，发现1次扣3分。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1005"/>
              <w:jc w:val="left"/>
              <w:rPr>
                <w:rFonts w:ascii="宋体" w:hAnsi="宋体" w:cs="宋体"/>
                <w:color w:val="000000"/>
                <w:highlight w:val="none"/>
              </w:rPr>
            </w:pPr>
            <w:r>
              <w:rPr>
                <w:rFonts w:ascii="宋体" w:hAnsi="宋体" w:cs="宋体"/>
                <w:color w:val="000000"/>
                <w:highlight w:val="none"/>
              </w:rPr>
            </w:r>
            <w:r/>
          </w:p>
        </w:tc>
      </w:tr>
      <w:tr>
        <w:trPr>
          <w:trHeight w:val="325"/>
        </w:trPr>
        <w:tc>
          <w:tcPr>
            <w:tcBorders>
              <w:top w:val="none" w:color="000000" w:sz="0" w:space="0"/>
              <w:left w:val="single" w:color="000000" w:sz="4" w:space="0"/>
              <w:bottom w:val="none" w:color="000000" w:sz="0" w:space="0"/>
              <w:right w:val="single" w:color="000000" w:sz="4" w:space="0"/>
            </w:tcBorders>
            <w:tcW w:w="1111" w:type="dxa"/>
            <w:vAlign w:val="center"/>
            <w:vMerge w:val="continue"/>
            <w:textDirection w:val="lrTb"/>
            <w:noWrap w:val="false"/>
          </w:tcPr>
          <w:p>
            <w:pPr>
              <w:pStyle w:val="1005"/>
              <w:jc w:val="left"/>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183" w:type="dxa"/>
            <w:vAlign w:val="center"/>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3.无当班睡觉，无酒后上岗，脱岗离岗，</w:t>
            </w:r>
            <w:r>
              <w:rPr>
                <w:rFonts w:hint="eastAsia" w:ascii="宋体" w:hAnsi="宋体"/>
                <w:color w:val="000000"/>
                <w:highlight w:val="none"/>
              </w:rPr>
              <w:t xml:space="preserve">发现1次扣3分</w:t>
            </w:r>
            <w:r>
              <w:rPr>
                <w:rFonts w:hint="eastAsia" w:ascii="宋体" w:hAnsi="宋体" w:cs="宋体"/>
                <w:color w:val="000000"/>
                <w:highlight w:val="none"/>
              </w:rPr>
              <w:t xml:space="preserve">；中雨以上出现上述情况，</w:t>
            </w:r>
            <w:r>
              <w:rPr>
                <w:rFonts w:hint="eastAsia" w:ascii="宋体" w:hAnsi="宋体"/>
                <w:color w:val="000000"/>
                <w:highlight w:val="none"/>
              </w:rPr>
              <w:t xml:space="preserve">发现1次扣5分。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1005"/>
              <w:jc w:val="left"/>
              <w:rPr>
                <w:rFonts w:ascii="宋体" w:hAnsi="宋体" w:cs="宋体"/>
                <w:color w:val="000000"/>
                <w:highlight w:val="none"/>
              </w:rPr>
            </w:pPr>
            <w:r>
              <w:rPr>
                <w:rFonts w:ascii="宋体" w:hAnsi="宋体" w:cs="宋体"/>
                <w:color w:val="000000"/>
                <w:highlight w:val="none"/>
              </w:rPr>
            </w:r>
            <w:r/>
          </w:p>
        </w:tc>
      </w:tr>
      <w:tr>
        <w:trPr>
          <w:trHeight w:val="325"/>
        </w:trPr>
        <w:tc>
          <w:tcPr>
            <w:tcBorders>
              <w:top w:val="none" w:color="000000" w:sz="0" w:space="0"/>
              <w:left w:val="single" w:color="000000" w:sz="4" w:space="0"/>
              <w:bottom w:val="none" w:color="000000" w:sz="0" w:space="0"/>
              <w:right w:val="single" w:color="000000" w:sz="4" w:space="0"/>
            </w:tcBorders>
            <w:tcW w:w="1111" w:type="dxa"/>
            <w:vAlign w:val="center"/>
            <w:vMerge w:val="continue"/>
            <w:textDirection w:val="lrTb"/>
            <w:noWrap w:val="false"/>
          </w:tcPr>
          <w:p>
            <w:pPr>
              <w:pStyle w:val="1005"/>
              <w:jc w:val="left"/>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183" w:type="dxa"/>
            <w:vAlign w:val="center"/>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4.车间内设有必要的消防器材，不随意挪动，能够按月及时检查，做好记录，未完成扣3分。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1005"/>
              <w:jc w:val="left"/>
              <w:rPr>
                <w:rFonts w:ascii="宋体" w:hAnsi="宋体" w:cs="宋体"/>
                <w:color w:val="000000"/>
                <w:highlight w:val="none"/>
              </w:rPr>
            </w:pPr>
            <w:r>
              <w:rPr>
                <w:rFonts w:ascii="宋体" w:hAnsi="宋体" w:cs="宋体"/>
                <w:color w:val="000000"/>
                <w:highlight w:val="none"/>
              </w:rPr>
            </w:r>
            <w:r/>
          </w:p>
        </w:tc>
      </w:tr>
      <w:tr>
        <w:trPr>
          <w:trHeight w:val="325"/>
        </w:trPr>
        <w:tc>
          <w:tcPr>
            <w:tcBorders>
              <w:top w:val="none" w:color="000000" w:sz="0" w:space="0"/>
              <w:left w:val="single" w:color="000000" w:sz="4" w:space="0"/>
              <w:bottom w:val="single" w:color="000000" w:sz="4" w:space="0"/>
              <w:right w:val="single" w:color="000000" w:sz="4" w:space="0"/>
            </w:tcBorders>
            <w:tcW w:w="1111" w:type="dxa"/>
            <w:vAlign w:val="center"/>
            <w:vMerge w:val="continue"/>
            <w:textDirection w:val="lrTb"/>
            <w:noWrap w:val="false"/>
          </w:tcPr>
          <w:p>
            <w:pPr>
              <w:pStyle w:val="1005"/>
              <w:jc w:val="left"/>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183" w:type="dxa"/>
            <w:vAlign w:val="center"/>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5.地下泵站遇到设备故障、汛期强降雨等若干需要停机的情况，停机后立即关闭进水闸门和进水管闸阀并及时报备，若未按要求执行，每发生一次扣5分。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1005"/>
              <w:jc w:val="left"/>
              <w:rPr>
                <w:rFonts w:ascii="宋体" w:hAnsi="宋体" w:cs="宋体"/>
                <w:color w:val="000000"/>
                <w:highlight w:val="none"/>
              </w:rPr>
            </w:pPr>
            <w:r>
              <w:rPr>
                <w:rFonts w:ascii="宋体" w:hAnsi="宋体" w:cs="宋体"/>
                <w:color w:val="000000"/>
                <w:highlight w:val="none"/>
              </w:rPr>
            </w:r>
            <w:r/>
          </w:p>
        </w:tc>
      </w:tr>
      <w:tr>
        <w:trPr>
          <w:trHeight w:val="317"/>
        </w:trPr>
        <w:tc>
          <w:tcPr>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运行及设备管理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183" w:type="dxa"/>
            <w:vAlign w:val="center"/>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1.每天按照要求做好相关台账记录，做到字迹清楚、数据准确；每天做好补水河道巡河工作，查看沿河配套设备，若发现1次未完成扣3分。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vMerge w:val="restart"/>
            <w:textDirection w:val="lrTb"/>
            <w:noWrap w:val="false"/>
          </w:tcPr>
          <w:p>
            <w:pPr>
              <w:pStyle w:val="1005"/>
              <w:jc w:val="left"/>
              <w:rPr>
                <w:rFonts w:ascii="宋体" w:hAnsi="宋体" w:cs="宋体"/>
                <w:color w:val="000000"/>
                <w:highlight w:val="none"/>
              </w:rPr>
            </w:pPr>
            <w:r>
              <w:rPr>
                <w:rFonts w:ascii="宋体" w:hAnsi="宋体" w:cs="宋体"/>
                <w:color w:val="000000"/>
                <w:highlight w:val="none"/>
              </w:rPr>
            </w:r>
            <w:r/>
          </w:p>
        </w:tc>
      </w:tr>
      <w:tr>
        <w:trPr>
          <w:trHeight w:val="654"/>
        </w:trPr>
        <w:tc>
          <w:tcPr>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pStyle w:val="1005"/>
              <w:jc w:val="left"/>
              <w:widowControl/>
              <w:rPr>
                <w:color w:val="000000"/>
                <w:highlight w:val="none"/>
              </w:rPr>
            </w:pPr>
            <w:r>
              <w:rPr>
                <w:color w:val="000000"/>
                <w:highlight w:val="none"/>
              </w:rPr>
            </w:r>
            <w:r/>
          </w:p>
        </w:tc>
        <w:tc>
          <w:tcPr>
            <w:tcBorders>
              <w:top w:val="single" w:color="000000" w:sz="4" w:space="0"/>
              <w:left w:val="single" w:color="000000" w:sz="4" w:space="0"/>
              <w:bottom w:val="none" w:color="000000" w:sz="0" w:space="0"/>
              <w:right w:val="single" w:color="000000" w:sz="4" w:space="0"/>
            </w:tcBorders>
            <w:tcW w:w="7183" w:type="dxa"/>
            <w:vAlign w:val="center"/>
            <w:textDirection w:val="lrTb"/>
            <w:noWrap w:val="false"/>
          </w:tcPr>
          <w:p>
            <w:pPr>
              <w:pStyle w:val="1005"/>
              <w:jc w:val="left"/>
              <w:widowControl/>
              <w:tabs>
                <w:tab w:val="left" w:pos="312" w:leader="none"/>
              </w:tabs>
              <w:rPr>
                <w:color w:val="000000"/>
                <w:highlight w:val="none"/>
              </w:rPr>
            </w:pPr>
            <w:r>
              <w:rPr>
                <w:rFonts w:hint="eastAsia" w:ascii="宋体" w:hAnsi="宋体" w:cs="宋体"/>
                <w:color w:val="000000"/>
                <w:highlight w:val="none"/>
              </w:rPr>
              <w:t xml:space="preserve">2.若遇到不明油污、泡沫、污水等入河立即拍摄，及时上报，将照片、视频发送给相关管理</w:t>
            </w:r>
            <w:r>
              <w:rPr>
                <w:rFonts w:hint="eastAsia" w:ascii="宋体" w:hAnsi="宋体" w:cs="宋体"/>
                <w:color w:val="000000"/>
                <w:highlight w:val="none"/>
              </w:rPr>
              <w:t xml:space="preserve">人员，并按要求进行采样。若未及时处理，每次扣3分。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pStyle w:val="1005"/>
              <w:jc w:val="left"/>
              <w:widowControl/>
              <w:rPr>
                <w:rFonts w:ascii="宋体" w:hAnsi="宋体" w:cs="宋体"/>
                <w:color w:val="000000"/>
                <w:highlight w:val="none"/>
              </w:rPr>
            </w:pPr>
            <w:r>
              <w:rPr>
                <w:rFonts w:ascii="宋体" w:hAnsi="宋体" w:cs="宋体"/>
                <w:color w:val="000000"/>
                <w:highlight w:val="none"/>
              </w:rPr>
            </w:r>
            <w:r/>
          </w:p>
        </w:tc>
      </w:tr>
      <w:tr>
        <w:trPr>
          <w:trHeight w:val="551"/>
        </w:trPr>
        <w:tc>
          <w:tcPr>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pStyle w:val="1005"/>
              <w:jc w:val="left"/>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183" w:type="dxa"/>
            <w:vAlign w:val="center"/>
            <w:textDirection w:val="lrTb"/>
            <w:noWrap w:val="false"/>
          </w:tcPr>
          <w:p>
            <w:pPr>
              <w:pStyle w:val="1005"/>
              <w:jc w:val="left"/>
              <w:widowControl/>
              <w:tabs>
                <w:tab w:val="left" w:pos="312" w:leader="none"/>
              </w:tabs>
              <w:rPr>
                <w:color w:val="000000"/>
                <w:highlight w:val="none"/>
              </w:rPr>
            </w:pPr>
            <w:r>
              <w:rPr>
                <w:rFonts w:hint="eastAsia" w:ascii="宋体" w:hAnsi="宋体" w:cs="宋体"/>
                <w:color w:val="000000"/>
                <w:highlight w:val="none"/>
              </w:rPr>
              <w:t xml:space="preserve">3.严格按照设备操作规程启动、关停设备（电气）及阀门，确保设备正常运转，发现设备故障及时上报、处理，并做好相应记录。未完成每次扣3分。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pStyle w:val="1005"/>
              <w:jc w:val="left"/>
              <w:rPr>
                <w:rFonts w:ascii="宋体" w:hAnsi="宋体" w:cs="宋体"/>
                <w:color w:val="000000"/>
                <w:highlight w:val="none"/>
              </w:rPr>
            </w:pPr>
            <w:r>
              <w:rPr>
                <w:rFonts w:ascii="宋体" w:hAnsi="宋体" w:cs="宋体"/>
                <w:color w:val="000000"/>
                <w:highlight w:val="none"/>
              </w:rPr>
            </w:r>
            <w:r/>
          </w:p>
        </w:tc>
      </w:tr>
      <w:tr>
        <w:trPr>
          <w:trHeight w:val="748"/>
        </w:trPr>
        <w:tc>
          <w:tcPr>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pStyle w:val="1005"/>
              <w:jc w:val="left"/>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none" w:color="000000" w:sz="0" w:space="0"/>
              <w:right w:val="single" w:color="000000" w:sz="4" w:space="0"/>
            </w:tcBorders>
            <w:tcW w:w="7183" w:type="dxa"/>
            <w:vAlign w:val="center"/>
            <w:textDirection w:val="lrTb"/>
            <w:noWrap w:val="false"/>
          </w:tcPr>
          <w:p>
            <w:pPr>
              <w:pStyle w:val="1005"/>
              <w:jc w:val="left"/>
              <w:rPr>
                <w:rFonts w:ascii="宋体" w:hAnsi="宋体" w:cs="宋体"/>
                <w:color w:val="000000"/>
                <w:highlight w:val="none"/>
              </w:rPr>
            </w:pPr>
            <w:r>
              <w:rPr>
                <w:rFonts w:hint="eastAsia" w:ascii="宋体" w:hAnsi="宋体" w:cs="宋体"/>
                <w:color w:val="000000"/>
                <w:highlight w:val="none"/>
              </w:rPr>
              <w:t xml:space="preserve">4.按规定完成并做好机电设备日常保养，重点做好轴承、减速机等机械设备润滑工作，及时清除超磁辅机轴承泄露磁粉、紧固盘根、紧固控制室电气柜端子、清理柜内积灰等。若发现一项未完成扣3分。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pStyle w:val="1005"/>
              <w:jc w:val="left"/>
              <w:rPr>
                <w:rFonts w:ascii="宋体" w:hAnsi="宋体" w:cs="宋体"/>
                <w:color w:val="000000"/>
                <w:highlight w:val="none"/>
              </w:rPr>
            </w:pPr>
            <w:r>
              <w:rPr>
                <w:rFonts w:ascii="宋体" w:hAnsi="宋体" w:cs="宋体"/>
                <w:color w:val="000000"/>
                <w:highlight w:val="none"/>
              </w:rPr>
            </w:r>
            <w:r/>
          </w:p>
        </w:tc>
      </w:tr>
      <w:tr>
        <w:trPr>
          <w:trHeight w:val="326"/>
        </w:trPr>
        <w:tc>
          <w:tcPr>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pStyle w:val="1005"/>
              <w:jc w:val="left"/>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none" w:color="000000" w:sz="0" w:space="0"/>
              <w:right w:val="single" w:color="000000" w:sz="4" w:space="0"/>
            </w:tcBorders>
            <w:tcW w:w="7183" w:type="dxa"/>
            <w:vAlign w:val="center"/>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5.及时清捞净水站进水口、人工格栅、Y型过滤器等设备处垃圾。若发现未及时清捞扣2分。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pStyle w:val="1005"/>
              <w:jc w:val="left"/>
              <w:rPr>
                <w:rFonts w:ascii="宋体" w:hAnsi="宋体" w:cs="宋体"/>
                <w:color w:val="000000"/>
                <w:highlight w:val="none"/>
              </w:rPr>
            </w:pPr>
            <w:r>
              <w:rPr>
                <w:rFonts w:ascii="宋体" w:hAnsi="宋体" w:cs="宋体"/>
                <w:color w:val="000000"/>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河道清理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183" w:type="dxa"/>
            <w:vAlign w:val="center"/>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1.及时处置浮泥（浮油），清除后需有明显的效果。若未完成每次扣2分。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vMerge w:val="restart"/>
            <w:textDirection w:val="lrTb"/>
            <w:noWrap w:val="false"/>
          </w:tcPr>
          <w:p>
            <w:pPr>
              <w:pStyle w:val="1005"/>
              <w:jc w:val="left"/>
              <w:rPr>
                <w:rFonts w:ascii="宋体" w:hAnsi="宋体" w:cs="宋体"/>
                <w:color w:val="000000"/>
                <w:highlight w:val="none"/>
              </w:rPr>
            </w:pPr>
            <w:r>
              <w:rPr>
                <w:rFonts w:ascii="宋体" w:hAnsi="宋体" w:cs="宋体"/>
                <w:color w:val="000000"/>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pStyle w:val="1005"/>
              <w:jc w:val="left"/>
              <w:widowControl/>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183" w:type="dxa"/>
            <w:vAlign w:val="center"/>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2.按要求收割清捞河道旺盛水生植物，</w:t>
            </w:r>
            <w:r>
              <w:rPr>
                <w:rFonts w:hint="eastAsia" w:ascii="宋体" w:hAnsi="宋体" w:cs="宋体"/>
                <w:color w:val="000000"/>
                <w:highlight w:val="none"/>
              </w:rPr>
              <w:t xml:space="preserve">妥善处理收割植物</w:t>
            </w:r>
            <w:r>
              <w:rPr>
                <w:rFonts w:hint="eastAsia" w:ascii="宋体" w:hAnsi="宋体" w:cs="宋体"/>
                <w:color w:val="000000"/>
                <w:highlight w:val="none"/>
              </w:rPr>
              <w:t xml:space="preserve">。若未完成每次扣2分。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pStyle w:val="1005"/>
              <w:jc w:val="left"/>
              <w:widowControl/>
              <w:rPr>
                <w:rFonts w:ascii="宋体" w:hAnsi="宋体" w:cs="宋体"/>
                <w:color w:val="000000"/>
                <w:highlight w:val="none"/>
              </w:rPr>
            </w:pPr>
            <w:r>
              <w:rPr>
                <w:rFonts w:ascii="宋体" w:hAnsi="宋体" w:cs="宋体"/>
                <w:color w:val="000000"/>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pStyle w:val="1005"/>
              <w:jc w:val="left"/>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183" w:type="dxa"/>
            <w:vAlign w:val="center"/>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t xml:space="preserve">及时清捞抽排泵站进水口、格栅井垃圾；清捞垃圾妥善处理</w:t>
            </w:r>
            <w:r>
              <w:rPr>
                <w:rFonts w:hint="eastAsia" w:ascii="宋体" w:hAnsi="宋体" w:cs="宋体"/>
                <w:color w:val="000000"/>
                <w:highlight w:val="none"/>
              </w:rPr>
              <w:t xml:space="preserve">。若未完成每次扣5分。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pStyle w:val="1005"/>
              <w:jc w:val="left"/>
              <w:widowControl/>
              <w:rPr>
                <w:rFonts w:ascii="宋体" w:hAnsi="宋体" w:cs="宋体"/>
                <w:color w:val="000000"/>
                <w:highlight w:val="none"/>
              </w:rPr>
            </w:pPr>
            <w:r>
              <w:rPr>
                <w:rFonts w:ascii="宋体" w:hAnsi="宋体" w:cs="宋体"/>
                <w:color w:val="000000"/>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环境卫生</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183" w:type="dxa"/>
            <w:vAlign w:val="center"/>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1.净水泵站室内地板无尘，设备、电柜表面整洁卫生；保护室外绿化、保持环境卫生，泵站内及泵站附近绿化垃圾及时清理，若未完成每次扣2分。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vMerge w:val="restart"/>
            <w:textDirection w:val="lrTb"/>
            <w:noWrap w:val="false"/>
          </w:tcPr>
          <w:p>
            <w:pPr>
              <w:pStyle w:val="1005"/>
              <w:jc w:val="left"/>
              <w:rPr>
                <w:rFonts w:ascii="宋体" w:hAnsi="宋体" w:cs="宋体"/>
                <w:color w:val="000000"/>
                <w:highlight w:val="none"/>
              </w:rPr>
            </w:pPr>
            <w:r>
              <w:rPr>
                <w:rFonts w:ascii="宋体" w:hAnsi="宋体" w:cs="宋体"/>
                <w:color w:val="000000"/>
                <w:highlight w:val="none"/>
              </w:rPr>
            </w:r>
            <w:r/>
          </w:p>
        </w:tc>
      </w:tr>
      <w:tr>
        <w:trPr>
          <w:trHeight w:val="269"/>
        </w:trPr>
        <w:tc>
          <w:tcPr>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pStyle w:val="1005"/>
              <w:jc w:val="left"/>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183" w:type="dxa"/>
            <w:vAlign w:val="center"/>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2.确保抽排泵站及周边干净卫生；河道装置表面无垃圾。若未完成每次扣2分。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pStyle w:val="1005"/>
              <w:jc w:val="left"/>
              <w:rPr>
                <w:rFonts w:ascii="宋体" w:hAnsi="宋体" w:cs="宋体"/>
                <w:color w:val="000000"/>
                <w:highlight w:val="none"/>
              </w:rPr>
            </w:pPr>
            <w:r>
              <w:rPr>
                <w:rFonts w:ascii="宋体" w:hAnsi="宋体" w:cs="宋体"/>
                <w:color w:val="000000"/>
                <w:highlight w:val="none"/>
              </w:rPr>
            </w:r>
            <w:r/>
          </w:p>
        </w:tc>
      </w:tr>
      <w:tr>
        <w:trPr>
          <w:trHeight w:val="502"/>
        </w:trPr>
        <w:tc>
          <w:tcPr>
            <w:gridSpan w:val="2"/>
            <w:tcBorders>
              <w:top w:val="single" w:color="000000" w:sz="4" w:space="0"/>
              <w:left w:val="single" w:color="000000" w:sz="4" w:space="0"/>
              <w:bottom w:val="single" w:color="000000" w:sz="4" w:space="0"/>
              <w:right w:val="single" w:color="000000" w:sz="4" w:space="0"/>
            </w:tcBorders>
            <w:tcW w:w="8294" w:type="dxa"/>
            <w:vAlign w:val="center"/>
            <w:textDirection w:val="lrTb"/>
            <w:noWrap w:val="false"/>
          </w:tcPr>
          <w:p>
            <w:pPr>
              <w:pStyle w:val="1005"/>
              <w:jc w:val="left"/>
              <w:widowControl/>
              <w:rPr>
                <w:rFonts w:ascii="宋体" w:hAnsi="宋体" w:cs="宋体"/>
                <w:color w:val="000000"/>
                <w:highlight w:val="none"/>
              </w:rPr>
            </w:pPr>
            <w:r>
              <w:rPr>
                <w:rFonts w:hint="eastAsia" w:ascii="宋体" w:hAnsi="宋体" w:cs="宋体"/>
                <w:color w:val="000000"/>
                <w:highlight w:val="none"/>
              </w:rPr>
              <w:t xml:space="preserve">当月考核总分</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1005"/>
              <w:jc w:val="left"/>
              <w:rPr>
                <w:rFonts w:ascii="宋体" w:hAnsi="宋体" w:cs="宋体"/>
                <w:color w:val="000000"/>
                <w:highlight w:val="none"/>
              </w:rPr>
            </w:pPr>
            <w:r>
              <w:rPr>
                <w:rFonts w:ascii="宋体" w:hAnsi="宋体" w:cs="宋体"/>
                <w:color w:val="000000"/>
                <w:highlight w:val="none"/>
              </w:rPr>
            </w:r>
            <w:r/>
          </w:p>
        </w:tc>
      </w:tr>
      <w:tr>
        <w:trPr>
          <w:trHeight w:val="471"/>
        </w:trPr>
        <w:tc>
          <w:tcPr>
            <w:gridSpan w:val="3"/>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pStyle w:val="1005"/>
              <w:jc w:val="left"/>
              <w:widowControl/>
              <w:rPr>
                <w:rFonts w:ascii="宋体" w:hAnsi="宋体" w:cs="宋体"/>
                <w:b/>
                <w:bCs/>
                <w:color w:val="000000"/>
                <w:highlight w:val="none"/>
              </w:rPr>
            </w:pPr>
            <w:r>
              <w:rPr>
                <w:rFonts w:hint="eastAsia" w:ascii="宋体" w:hAnsi="宋体" w:cs="宋体"/>
                <w:b/>
                <w:bCs/>
                <w:color w:val="000000"/>
                <w:highlight w:val="none"/>
              </w:rPr>
              <w:t xml:space="preserve">备注：</w:t>
            </w:r>
            <w:r>
              <w:rPr>
                <w:rFonts w:hint="eastAsia" w:ascii="宋体" w:hAnsi="宋体" w:cs="宋体"/>
                <w:color w:val="000000"/>
                <w:highlight w:val="none"/>
              </w:rPr>
              <w:t xml:space="preserve">发生</w:t>
            </w:r>
            <w:r>
              <w:rPr>
                <w:rFonts w:hint="eastAsia" w:ascii="宋体" w:hAnsi="宋体" w:cs="宋体"/>
                <w:b/>
                <w:bCs/>
                <w:color w:val="000000"/>
                <w:highlight w:val="none"/>
              </w:rPr>
              <w:t xml:space="preserve">地下淹水</w:t>
            </w:r>
            <w:r>
              <w:rPr>
                <w:rFonts w:hint="eastAsia" w:ascii="宋体" w:hAnsi="宋体" w:cs="宋体"/>
                <w:color w:val="000000"/>
                <w:highlight w:val="none"/>
              </w:rPr>
              <w:t xml:space="preserve">等安全事故，</w:t>
            </w:r>
            <w:r>
              <w:rPr>
                <w:rFonts w:hint="eastAsia" w:ascii="宋体" w:hAnsi="宋体" w:cs="宋体"/>
                <w:color w:val="000000"/>
                <w:highlight w:val="none"/>
              </w:rPr>
              <w:t xml:space="preserve">安全管理</w:t>
            </w:r>
            <w:r>
              <w:rPr>
                <w:rFonts w:hint="eastAsia" w:ascii="宋体" w:hAnsi="宋体" w:cs="宋体"/>
                <w:color w:val="000000"/>
                <w:highlight w:val="none"/>
              </w:rPr>
              <w:t xml:space="preserve">考核分数全扣。</w:t>
            </w:r>
            <w:r>
              <w:rPr>
                <w:rFonts w:ascii="宋体" w:hAnsi="宋体" w:cs="宋体"/>
                <w:b/>
                <w:bCs/>
                <w:color w:val="000000"/>
                <w:highlight w:val="none"/>
              </w:rPr>
            </w:r>
            <w:r/>
          </w:p>
        </w:tc>
      </w:tr>
    </w:tbl>
    <w:p>
      <w:pPr>
        <w:pStyle w:val="1403"/>
        <w:spacing w:before="0" w:beforeAutospacing="0" w:after="0" w:afterAutospacing="0"/>
        <w:shd w:val="clear" w:color="auto" w:fill="ffffff"/>
        <w:rPr>
          <w:color w:val="000000"/>
          <w:highlight w:val="none"/>
        </w:rPr>
      </w:pPr>
      <w:r>
        <w:rPr>
          <w:color w:val="000000"/>
          <w:highlight w:val="none"/>
        </w:rPr>
      </w:r>
      <w:r/>
    </w:p>
    <w:p>
      <w:pPr>
        <w:pStyle w:val="1005"/>
        <w:jc w:val="left"/>
        <w:spacing w:line="360" w:lineRule="auto"/>
        <w:widowControl/>
        <w:rPr>
          <w:rFonts w:ascii="宋体" w:hAnsi="宋体"/>
          <w:color w:val="000000"/>
          <w:sz w:val="24"/>
          <w:highlight w:val="none"/>
        </w:rPr>
        <w:outlineLvl w:val="1"/>
      </w:pPr>
      <w:r>
        <w:rPr>
          <w:rFonts w:ascii="宋体" w:hAnsi="宋体"/>
          <w:b/>
          <w:color w:val="000000"/>
          <w:sz w:val="24"/>
          <w:highlight w:val="none"/>
        </w:rPr>
        <w:br w:type="page" w:clear="all"/>
      </w:r>
      <w:r>
        <w:rPr>
          <w:rFonts w:ascii="宋体" w:hAnsi="宋体"/>
          <w:b/>
          <w:color w:val="000000"/>
          <w:sz w:val="24"/>
          <w:highlight w:val="none"/>
        </w:rPr>
        <w:t xml:space="preserve">附件</w:t>
      </w:r>
      <w:r>
        <w:rPr>
          <w:rFonts w:hint="eastAsia" w:ascii="宋体" w:hAnsi="宋体"/>
          <w:b/>
          <w:color w:val="000000"/>
          <w:sz w:val="24"/>
          <w:highlight w:val="none"/>
        </w:rPr>
        <w:t xml:space="preserve">3</w:t>
      </w:r>
      <w:r>
        <w:rPr>
          <w:rFonts w:ascii="宋体" w:hAnsi="宋体"/>
          <w:b/>
          <w:color w:val="000000"/>
          <w:sz w:val="24"/>
          <w:highlight w:val="none"/>
        </w:rPr>
        <w:t xml:space="preserve">：</w:t>
      </w:r>
      <w:r>
        <w:rPr>
          <w:rFonts w:hint="eastAsia" w:ascii="宋体" w:hAnsi="宋体"/>
          <w:b/>
          <w:color w:val="000000"/>
          <w:sz w:val="24"/>
          <w:highlight w:val="none"/>
        </w:rPr>
        <w:t xml:space="preserve">安全生产协议</w:t>
      </w:r>
      <w:r>
        <w:rPr>
          <w:rFonts w:ascii="宋体" w:hAnsi="宋体"/>
          <w:color w:val="000000"/>
          <w:sz w:val="24"/>
          <w:highlight w:val="none"/>
        </w:rPr>
      </w:r>
      <w:r/>
    </w:p>
    <w:p>
      <w:pPr>
        <w:pStyle w:val="1005"/>
        <w:jc w:val="center"/>
        <w:spacing w:line="360" w:lineRule="auto"/>
        <w:widowControl/>
        <w:rPr>
          <w:rFonts w:ascii="宋体" w:hAnsi="宋体"/>
          <w:color w:val="000000"/>
          <w:highlight w:val="none"/>
        </w:rPr>
      </w:pPr>
      <w:r>
        <w:rPr>
          <w:rFonts w:ascii="宋体" w:hAnsi="宋体"/>
          <w:b/>
          <w:color w:val="000000"/>
          <w:spacing w:val="100"/>
          <w:sz w:val="28"/>
          <w:szCs w:val="28"/>
          <w:highlight w:val="none"/>
        </w:rPr>
        <w:t xml:space="preserve">安全生产协议</w:t>
      </w:r>
      <w:r>
        <w:rPr>
          <w:rFonts w:ascii="宋体" w:hAnsi="宋体"/>
          <w:color w:val="000000"/>
          <w:highlight w:val="none"/>
        </w:rPr>
      </w:r>
      <w:r/>
    </w:p>
    <w:p>
      <w:pPr>
        <w:pStyle w:val="1005"/>
        <w:jc w:val="left"/>
        <w:spacing w:line="360" w:lineRule="auto"/>
        <w:widowControl/>
        <w:rPr>
          <w:rFonts w:ascii="宋体" w:hAnsi="宋体"/>
          <w:color w:val="000000"/>
          <w:highlight w:val="none"/>
        </w:rPr>
      </w:pPr>
      <w:r>
        <w:rPr>
          <w:rFonts w:ascii="宋体" w:hAnsi="宋体"/>
          <w:color w:val="000000"/>
          <w:sz w:val="24"/>
          <w:highlight w:val="none"/>
        </w:rPr>
        <w:t xml:space="preserve">立协议单位：</w:t>
      </w:r>
      <w:r>
        <w:rPr>
          <w:rFonts w:ascii="宋体" w:hAnsi="宋体"/>
          <w:color w:val="000000"/>
          <w:highlight w:val="none"/>
        </w:rPr>
      </w:r>
      <w:r/>
    </w:p>
    <w:p>
      <w:pPr>
        <w:pStyle w:val="1005"/>
        <w:jc w:val="left"/>
        <w:spacing w:line="360" w:lineRule="auto"/>
        <w:widowControl/>
        <w:rPr>
          <w:rFonts w:ascii="宋体" w:hAnsi="宋体"/>
          <w:color w:val="000000"/>
          <w:highlight w:val="none"/>
        </w:rPr>
      </w:pPr>
      <w:r>
        <w:rPr>
          <w:rFonts w:ascii="宋体" w:hAnsi="宋体"/>
          <w:color w:val="000000"/>
          <w:sz w:val="24"/>
          <w:highlight w:val="none"/>
        </w:rPr>
        <w:t xml:space="preserve">甲方：</w:t>
      </w:r>
      <w:r>
        <w:rPr>
          <w:rFonts w:ascii="宋体" w:hAnsi="宋体"/>
          <w:color w:val="000000"/>
          <w:sz w:val="24"/>
          <w:highlight w:val="none"/>
          <w:u w:val="single"/>
        </w:rPr>
        <w:t xml:space="preserve">                      </w:t>
      </w:r>
      <w:r>
        <w:rPr>
          <w:rFonts w:ascii="宋体" w:hAnsi="宋体"/>
          <w:color w:val="000000"/>
          <w:highlight w:val="none"/>
        </w:rPr>
      </w:r>
      <w:r/>
    </w:p>
    <w:p>
      <w:pPr>
        <w:pStyle w:val="1005"/>
        <w:jc w:val="left"/>
        <w:spacing w:line="360" w:lineRule="auto"/>
        <w:widowControl/>
        <w:rPr>
          <w:rFonts w:ascii="宋体" w:hAnsi="宋体"/>
          <w:color w:val="000000"/>
          <w:highlight w:val="none"/>
        </w:rPr>
      </w:pPr>
      <w:r>
        <w:rPr>
          <w:rFonts w:ascii="宋体" w:hAnsi="宋体"/>
          <w:color w:val="000000"/>
          <w:sz w:val="24"/>
          <w:highlight w:val="none"/>
        </w:rPr>
        <w:t xml:space="preserve">乙方：</w:t>
      </w:r>
      <w:r>
        <w:rPr>
          <w:rFonts w:ascii="宋体" w:hAnsi="宋体"/>
          <w:color w:val="000000"/>
          <w:sz w:val="24"/>
          <w:highlight w:val="none"/>
          <w:u w:val="single"/>
        </w:rPr>
        <w:t xml:space="preserve">                      </w:t>
      </w:r>
      <w:r>
        <w:rPr>
          <w:rFonts w:ascii="宋体" w:hAnsi="宋体"/>
          <w:color w:val="000000"/>
          <w:highlight w:val="none"/>
        </w:rPr>
      </w:r>
      <w:r/>
    </w:p>
    <w:p>
      <w:pPr>
        <w:pStyle w:val="1005"/>
        <w:jc w:val="left"/>
        <w:spacing w:line="360" w:lineRule="auto"/>
        <w:widowControl/>
        <w:rPr>
          <w:rFonts w:ascii="宋体" w:hAnsi="宋体"/>
          <w:color w:val="000000"/>
          <w:highlight w:val="none"/>
        </w:rPr>
      </w:pPr>
      <w:r>
        <w:rPr>
          <w:rFonts w:ascii="宋体" w:hAnsi="宋体"/>
          <w:color w:val="000000"/>
          <w:highlight w:val="none"/>
        </w:rPr>
      </w:r>
      <w:r/>
    </w:p>
    <w:p>
      <w:pPr>
        <w:pStyle w:val="1005"/>
        <w:ind w:firstLine="480"/>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为贯彻</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安全第一、预防为主、综合治理</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的方针，根据国家有关法律法规规定，明确双方的安全生产责任，确保操作安全，双方自愿签订本安全生产协议，以资共同遵守。</w:t>
      </w:r>
      <w:r>
        <w:rPr>
          <w:rFonts w:ascii="宋体" w:hAnsi="宋体"/>
          <w:bCs/>
          <w:color w:val="000000"/>
          <w:sz w:val="24"/>
          <w:highlight w:val="none"/>
        </w:rPr>
      </w:r>
      <w:r/>
    </w:p>
    <w:p>
      <w:pPr>
        <w:pStyle w:val="1005"/>
        <w:ind w:firstLine="480"/>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一、承包工程项目</w:t>
      </w:r>
      <w:r>
        <w:rPr>
          <w:rFonts w:ascii="宋体" w:hAnsi="宋体"/>
          <w:bCs/>
          <w:color w:val="000000"/>
          <w:sz w:val="24"/>
          <w:highlight w:val="none"/>
        </w:rPr>
      </w:r>
      <w:r/>
    </w:p>
    <w:p>
      <w:pPr>
        <w:pStyle w:val="1005"/>
        <w:ind w:firstLine="480"/>
        <w:jc w:val="left"/>
        <w:spacing w:line="360" w:lineRule="auto"/>
        <w:widowControl/>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1.项目名称：</w:t>
      </w:r>
      <w:r>
        <w:rPr>
          <w:rFonts w:hint="eastAsia" w:ascii="宋体" w:hAnsi="宋体"/>
          <w:bCs/>
          <w:color w:val="000000"/>
          <w:sz w:val="24"/>
          <w:highlight w:val="none"/>
          <w:lang w:eastAsia="zh-CN"/>
        </w:rPr>
        <w:t xml:space="preserve">2026年度净水站运维社会化服务</w:t>
      </w:r>
      <w:r>
        <w:rPr>
          <w:rFonts w:hint="eastAsia" w:ascii="宋体" w:hAnsi="宋体" w:eastAsia="宋体"/>
          <w:bCs/>
          <w:color w:val="000000"/>
          <w:sz w:val="24"/>
          <w:highlight w:val="none"/>
          <w:lang w:eastAsia="zh-CN"/>
        </w:rPr>
      </w:r>
      <w:r/>
    </w:p>
    <w:p>
      <w:pPr>
        <w:pStyle w:val="1005"/>
        <w:ind w:firstLine="480"/>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2.作业内容：净水站运维服务，详见招标文件和合同。</w:t>
      </w:r>
      <w:r>
        <w:rPr>
          <w:rFonts w:ascii="宋体" w:hAnsi="宋体"/>
          <w:bCs/>
          <w:color w:val="000000"/>
          <w:sz w:val="24"/>
          <w:highlight w:val="none"/>
        </w:rPr>
      </w:r>
      <w:r/>
    </w:p>
    <w:p>
      <w:pPr>
        <w:pStyle w:val="1005"/>
        <w:ind w:firstLine="480"/>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3.项目期限：见合同</w:t>
      </w:r>
      <w:r>
        <w:rPr>
          <w:rFonts w:ascii="宋体" w:hAnsi="宋体"/>
          <w:bCs/>
          <w:color w:val="000000"/>
          <w:sz w:val="24"/>
          <w:highlight w:val="none"/>
        </w:rPr>
      </w:r>
      <w:r/>
    </w:p>
    <w:p>
      <w:pPr>
        <w:pStyle w:val="1005"/>
        <w:ind w:firstLine="480"/>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二、双方权利义务</w:t>
      </w:r>
      <w:r>
        <w:rPr>
          <w:rFonts w:ascii="宋体" w:hAnsi="宋体"/>
          <w:bCs/>
          <w:color w:val="000000"/>
          <w:sz w:val="24"/>
          <w:highlight w:val="none"/>
        </w:rPr>
      </w:r>
      <w:r/>
    </w:p>
    <w:p>
      <w:pPr>
        <w:pStyle w:val="1005"/>
        <w:ind w:firstLine="480"/>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1.甲乙双方必须认真贯彻国家和上级劳动保护、安全生产、行业主管等部门颁发的有关安全生产、文明施工、消防工作的方针、政策，严格执行有关法规、条例、规定。乙方必须服从属地行政部门和单位的管理，并使操作项目达到主合同约定的安全、文明、环保等方面的要求。</w:t>
      </w:r>
      <w:r>
        <w:rPr>
          <w:rFonts w:ascii="宋体" w:hAnsi="宋体"/>
          <w:bCs/>
          <w:color w:val="000000"/>
          <w:sz w:val="24"/>
          <w:highlight w:val="none"/>
        </w:rPr>
      </w:r>
      <w:r/>
    </w:p>
    <w:p>
      <w:pPr>
        <w:pStyle w:val="1005"/>
        <w:ind w:firstLine="480"/>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2.乙方应建立健全安全管理制度，加强本单位员工安全生产责任制度，督促员工自觉遵守安全生产法律法规和规章制度。</w:t>
      </w:r>
      <w:r>
        <w:rPr>
          <w:rFonts w:ascii="宋体" w:hAnsi="宋体"/>
          <w:bCs/>
          <w:color w:val="000000"/>
          <w:sz w:val="24"/>
          <w:highlight w:val="none"/>
        </w:rPr>
      </w:r>
      <w:r/>
    </w:p>
    <w:p>
      <w:pPr>
        <w:pStyle w:val="1005"/>
        <w:ind w:firstLine="480"/>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3.乙方委派的项目操作人员必须熟知和遵守本工种的各项安全技术操作规程，对于从事有限空间、电气、起重、焊接、安装等特殊工种作业的人员，需经过专业培训后持证上岗。</w:t>
      </w:r>
      <w:r>
        <w:rPr>
          <w:rFonts w:ascii="宋体" w:hAnsi="宋体"/>
          <w:bCs/>
          <w:color w:val="000000"/>
          <w:sz w:val="24"/>
          <w:highlight w:val="none"/>
        </w:rPr>
      </w:r>
      <w:r/>
    </w:p>
    <w:p>
      <w:pPr>
        <w:pStyle w:val="1005"/>
        <w:ind w:firstLine="480"/>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4．乙方作业应确保安全，并落实安全责任，作业安全包括但不限于作业环境、作业设施设备、作业活动、作业流程合规、人员行为等因素；如作业现场因甲方的原因有不符合作业安全的事项时应及时告知甲方，解决后方可进行作业。</w:t>
      </w:r>
      <w:r>
        <w:rPr>
          <w:rFonts w:ascii="宋体" w:hAnsi="宋体"/>
          <w:bCs/>
          <w:color w:val="000000"/>
          <w:sz w:val="24"/>
          <w:highlight w:val="none"/>
        </w:rPr>
      </w:r>
      <w:r/>
    </w:p>
    <w:p>
      <w:pPr>
        <w:pStyle w:val="1005"/>
        <w:ind w:firstLine="480"/>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5.甲方或上级安全管理部门在检查中发现存在安全隐患或操作不符合相关要求时，甲方在要求乙方整改的同时，可视情节轻重，乙方应按甲方要求向甲方支付1000—3000元/次的违约金；发生一般生产安全事故但未造成人员伤亡的，或产生较大社会影响的事件，甲方有权要求乙方停工整改，乙方应按甲方要求向甲方支付5000元/次的违约金。</w:t>
      </w:r>
      <w:r>
        <w:rPr>
          <w:rFonts w:ascii="宋体" w:hAnsi="宋体"/>
          <w:bCs/>
          <w:color w:val="000000"/>
          <w:sz w:val="24"/>
          <w:highlight w:val="none"/>
        </w:rPr>
      </w:r>
      <w:r/>
    </w:p>
    <w:p>
      <w:pPr>
        <w:pStyle w:val="1005"/>
        <w:ind w:firstLine="480"/>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三、责任划分</w:t>
      </w:r>
      <w:r>
        <w:rPr>
          <w:rFonts w:ascii="宋体" w:hAnsi="宋体"/>
          <w:bCs/>
          <w:color w:val="000000"/>
          <w:sz w:val="24"/>
          <w:highlight w:val="none"/>
        </w:rPr>
      </w:r>
      <w:r/>
    </w:p>
    <w:p>
      <w:pPr>
        <w:pStyle w:val="1005"/>
        <w:ind w:firstLine="480"/>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1.合同履行过程中由乙方安全管理责任造成的自身损失由乙方自行承担，造成甲方或第三者伤害并导致经济损失的，由乙方承担全部赔偿责任。如上级管理部门判定甲方有管理责任，则按上级管理部门核定比例承担各自责任。</w:t>
      </w:r>
      <w:r>
        <w:rPr>
          <w:rFonts w:ascii="宋体" w:hAnsi="宋体"/>
          <w:bCs/>
          <w:color w:val="000000"/>
          <w:sz w:val="24"/>
          <w:highlight w:val="none"/>
        </w:rPr>
      </w:r>
      <w:r/>
    </w:p>
    <w:p>
      <w:pPr>
        <w:pStyle w:val="1005"/>
        <w:ind w:firstLine="480"/>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2.合同履行过程中如有因意外事件造成甲乙双方工作人员伤害，则各自承担本方人员医疗、赔偿等责任。</w:t>
      </w:r>
      <w:r>
        <w:rPr>
          <w:rFonts w:ascii="宋体" w:hAnsi="宋体"/>
          <w:bCs/>
          <w:color w:val="000000"/>
          <w:sz w:val="24"/>
          <w:highlight w:val="none"/>
        </w:rPr>
      </w:r>
      <w:r/>
    </w:p>
    <w:p>
      <w:pPr>
        <w:pStyle w:val="1005"/>
        <w:ind w:firstLine="480"/>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四、争议解决</w:t>
      </w:r>
      <w:r>
        <w:rPr>
          <w:rFonts w:ascii="宋体" w:hAnsi="宋体"/>
          <w:bCs/>
          <w:color w:val="000000"/>
          <w:sz w:val="24"/>
          <w:highlight w:val="none"/>
        </w:rPr>
      </w:r>
      <w:r/>
    </w:p>
    <w:p>
      <w:pPr>
        <w:pStyle w:val="1005"/>
        <w:ind w:firstLine="480"/>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本协议或与本协议有关的任何争议，均应提交常州仲裁委员会按照其仲裁规则进行仲裁。仲裁裁决是终局的，对协议各方均有约束力。</w:t>
      </w:r>
      <w:r>
        <w:rPr>
          <w:rFonts w:ascii="宋体" w:hAnsi="宋体"/>
          <w:bCs/>
          <w:color w:val="000000"/>
          <w:sz w:val="24"/>
          <w:highlight w:val="none"/>
        </w:rPr>
      </w:r>
      <w:r/>
    </w:p>
    <w:p>
      <w:pPr>
        <w:pStyle w:val="1005"/>
        <w:ind w:firstLine="480"/>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五、其他</w:t>
      </w:r>
      <w:r>
        <w:rPr>
          <w:rFonts w:ascii="宋体" w:hAnsi="宋体"/>
          <w:bCs/>
          <w:color w:val="000000"/>
          <w:sz w:val="24"/>
          <w:highlight w:val="none"/>
        </w:rPr>
      </w:r>
      <w:r/>
    </w:p>
    <w:p>
      <w:pPr>
        <w:pStyle w:val="1005"/>
        <w:ind w:firstLine="480"/>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1.双方对上述条款有异议或有补充的可列于本款。</w:t>
      </w:r>
      <w:r>
        <w:rPr>
          <w:rFonts w:ascii="宋体" w:hAnsi="宋体"/>
          <w:bCs/>
          <w:color w:val="000000"/>
          <w:sz w:val="24"/>
          <w:highlight w:val="none"/>
        </w:rPr>
      </w:r>
      <w:r/>
    </w:p>
    <w:p>
      <w:pPr>
        <w:pStyle w:val="1005"/>
        <w:ind w:firstLine="480"/>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2.本协议为《</w:t>
      </w:r>
      <w:r>
        <w:rPr>
          <w:rFonts w:hint="eastAsia" w:ascii="宋体" w:hAnsi="宋体"/>
          <w:bCs/>
          <w:color w:val="000000"/>
          <w:sz w:val="24"/>
          <w:highlight w:val="none"/>
          <w:lang w:eastAsia="zh-CN"/>
        </w:rPr>
        <w:t xml:space="preserve">2026年度净水站运维社会化服务</w:t>
      </w:r>
      <w:r>
        <w:rPr>
          <w:rFonts w:hint="eastAsia" w:ascii="宋体" w:hAnsi="宋体"/>
          <w:bCs/>
          <w:color w:val="000000"/>
          <w:sz w:val="24"/>
          <w:highlight w:val="none"/>
        </w:rPr>
        <w:t xml:space="preserve">》合同的附件，与合同同日生效，甲乙双方各执壹份。</w:t>
      </w:r>
      <w:r>
        <w:rPr>
          <w:rFonts w:ascii="宋体" w:hAnsi="宋体"/>
          <w:bCs/>
          <w:color w:val="000000"/>
          <w:sz w:val="24"/>
          <w:highlight w:val="none"/>
        </w:rPr>
      </w:r>
      <w:r/>
    </w:p>
    <w:p>
      <w:pPr>
        <w:pStyle w:val="1005"/>
        <w:jc w:val="left"/>
        <w:spacing w:line="360" w:lineRule="auto"/>
        <w:widowControl/>
        <w:rPr>
          <w:rFonts w:ascii="宋体" w:hAnsi="宋体"/>
          <w:bCs/>
          <w:color w:val="000000"/>
          <w:sz w:val="24"/>
          <w:highlight w:val="none"/>
        </w:rPr>
      </w:pPr>
      <w:r>
        <w:rPr>
          <w:rFonts w:ascii="宋体" w:hAnsi="宋体"/>
          <w:bCs/>
          <w:color w:val="000000"/>
          <w:sz w:val="24"/>
          <w:highlight w:val="none"/>
        </w:rPr>
      </w:r>
      <w:r/>
    </w:p>
    <w:p>
      <w:pPr>
        <w:pStyle w:val="1005"/>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甲方：                          乙方：</w:t>
      </w:r>
      <w:r>
        <w:rPr>
          <w:rFonts w:ascii="宋体" w:hAnsi="宋体"/>
          <w:bCs/>
          <w:color w:val="000000"/>
          <w:sz w:val="24"/>
          <w:highlight w:val="none"/>
        </w:rPr>
      </w:r>
      <w:r/>
    </w:p>
    <w:p>
      <w:pPr>
        <w:pStyle w:val="1005"/>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（印章）                        （印章）</w:t>
      </w:r>
      <w:r>
        <w:rPr>
          <w:rFonts w:ascii="宋体" w:hAnsi="宋体"/>
          <w:bCs/>
          <w:color w:val="000000"/>
          <w:sz w:val="24"/>
          <w:highlight w:val="none"/>
        </w:rPr>
      </w:r>
      <w:r/>
    </w:p>
    <w:p>
      <w:pPr>
        <w:pStyle w:val="1005"/>
        <w:jc w:val="left"/>
        <w:spacing w:line="360" w:lineRule="auto"/>
        <w:widowControl/>
        <w:rPr>
          <w:rFonts w:ascii="宋体" w:hAnsi="宋体"/>
          <w:bCs/>
          <w:color w:val="000000"/>
          <w:sz w:val="24"/>
          <w:highlight w:val="none"/>
        </w:rPr>
      </w:pPr>
      <w:r>
        <w:rPr>
          <w:rFonts w:ascii="宋体" w:hAnsi="宋体"/>
          <w:bCs/>
          <w:color w:val="000000"/>
          <w:sz w:val="24"/>
          <w:highlight w:val="none"/>
        </w:rPr>
      </w:r>
      <w:r/>
    </w:p>
    <w:p>
      <w:pPr>
        <w:pStyle w:val="1005"/>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法人代表或委托代理人            法人代表或委托代理人</w:t>
      </w:r>
      <w:r>
        <w:rPr>
          <w:rFonts w:ascii="宋体" w:hAnsi="宋体"/>
          <w:bCs/>
          <w:color w:val="000000"/>
          <w:sz w:val="24"/>
          <w:highlight w:val="none"/>
        </w:rPr>
      </w:r>
      <w:r/>
    </w:p>
    <w:p>
      <w:pPr>
        <w:pStyle w:val="1005"/>
        <w:jc w:val="left"/>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（签名或盖章）                  （签名或盖章）</w:t>
      </w:r>
      <w:r>
        <w:rPr>
          <w:rFonts w:ascii="宋体" w:hAnsi="宋体"/>
          <w:bCs/>
          <w:color w:val="000000"/>
          <w:sz w:val="24"/>
          <w:highlight w:val="none"/>
        </w:rPr>
      </w:r>
      <w:r/>
    </w:p>
    <w:p>
      <w:pPr>
        <w:pStyle w:val="1005"/>
        <w:jc w:val="left"/>
        <w:spacing w:line="360" w:lineRule="auto"/>
        <w:widowControl/>
        <w:rPr>
          <w:rFonts w:ascii="宋体" w:hAnsi="宋体"/>
          <w:bCs/>
          <w:color w:val="000000"/>
          <w:sz w:val="24"/>
          <w:highlight w:val="none"/>
        </w:rPr>
      </w:pPr>
      <w:r>
        <w:rPr>
          <w:rFonts w:ascii="宋体" w:hAnsi="宋体"/>
          <w:bCs/>
          <w:color w:val="000000"/>
          <w:sz w:val="24"/>
          <w:highlight w:val="none"/>
        </w:rPr>
        <w:t xml:space="preserve">           </w:t>
      </w:r>
      <w:r>
        <w:rPr>
          <w:rFonts w:ascii="宋体" w:hAnsi="宋体"/>
          <w:bCs/>
          <w:color w:val="000000"/>
          <w:sz w:val="24"/>
          <w:highlight w:val="none"/>
        </w:rPr>
      </w:r>
      <w:r/>
    </w:p>
    <w:p>
      <w:pPr>
        <w:pStyle w:val="1005"/>
        <w:jc w:val="left"/>
        <w:spacing w:line="360" w:lineRule="auto"/>
        <w:widowControl/>
        <w:rPr>
          <w:rFonts w:ascii="宋体" w:hAnsi="宋体"/>
          <w:bCs/>
          <w:color w:val="000000"/>
          <w:sz w:val="24"/>
          <w:highlight w:val="none"/>
        </w:rPr>
      </w:pPr>
      <w:r>
        <w:rPr>
          <w:rFonts w:ascii="宋体" w:hAnsi="宋体"/>
          <w:bCs/>
          <w:color w:val="000000"/>
          <w:sz w:val="24"/>
          <w:highlight w:val="none"/>
        </w:rPr>
        <w:t xml:space="preserve">                              </w:t>
      </w:r>
      <w:r>
        <w:rPr>
          <w:rFonts w:ascii="宋体" w:hAnsi="宋体"/>
          <w:bCs/>
          <w:color w:val="000000"/>
          <w:sz w:val="24"/>
          <w:highlight w:val="none"/>
        </w:rPr>
      </w:r>
      <w:r/>
    </w:p>
    <w:p>
      <w:pPr>
        <w:pStyle w:val="1005"/>
        <w:jc w:val="right"/>
        <w:spacing w:line="360" w:lineRule="auto"/>
        <w:widowControl/>
        <w:rPr>
          <w:rFonts w:ascii="宋体" w:hAnsi="宋体"/>
          <w:color w:val="000000"/>
          <w:highlight w:val="none"/>
        </w:rPr>
      </w:pPr>
      <w:r>
        <w:rPr>
          <w:rFonts w:hint="eastAsia" w:ascii="宋体" w:hAnsi="宋体"/>
          <w:bCs/>
          <w:color w:val="000000"/>
          <w:sz w:val="24"/>
          <w:highlight w:val="none"/>
        </w:rPr>
        <w:t xml:space="preserve"> 签订日期：      年   月   日</w:t>
      </w:r>
      <w:r>
        <w:rPr>
          <w:rFonts w:ascii="宋体" w:hAnsi="宋体"/>
          <w:color w:val="000000"/>
          <w:highlight w:val="none"/>
        </w:rPr>
      </w:r>
      <w:r/>
    </w:p>
    <w:p>
      <w:pPr>
        <w:pStyle w:val="1005"/>
        <w:spacing w:line="360" w:lineRule="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1005"/>
        <w:jc w:val="center"/>
        <w:spacing w:line="360" w:lineRule="auto"/>
        <w:rPr>
          <w:rFonts w:hint="eastAsia" w:ascii="宋体" w:hAnsi="宋体" w:cs="宋体"/>
          <w:b/>
          <w:color w:val="000000"/>
          <w:sz w:val="24"/>
          <w:highlight w:val="none"/>
        </w:rPr>
      </w:pPr>
      <w:r>
        <w:rPr>
          <w:rFonts w:ascii="宋体" w:hAnsi="宋体" w:cs="宋体"/>
          <w:b/>
          <w:color w:val="000000"/>
          <w:sz w:val="24"/>
          <w:highlight w:val="none"/>
        </w:rPr>
        <w:t xml:space="preserve">以上格式仅供参考</w:t>
      </w:r>
      <w:r>
        <w:rPr>
          <w:rFonts w:hint="eastAsia" w:ascii="宋体" w:hAnsi="宋体" w:cs="宋体"/>
          <w:b/>
          <w:color w:val="000000"/>
          <w:sz w:val="24"/>
          <w:highlight w:val="none"/>
        </w:rPr>
        <w:t xml:space="preserve">，合同条款最终以双方签定为准。</w:t>
      </w:r>
      <w:r>
        <w:rPr>
          <w:rFonts w:hint="eastAsia" w:ascii="宋体" w:hAnsi="宋体" w:cs="宋体"/>
          <w:b/>
          <w:color w:val="000000"/>
          <w:sz w:val="24"/>
          <w:highlight w:val="none"/>
        </w:rPr>
      </w:r>
      <w:r/>
    </w:p>
    <w:p>
      <w:pPr>
        <w:pStyle w:val="1005"/>
        <w:jc w:val="center"/>
        <w:spacing w:line="360" w:lineRule="auto"/>
        <w:rPr>
          <w:b/>
          <w:color w:val="000000"/>
          <w:sz w:val="36"/>
          <w:szCs w:val="36"/>
          <w:highlight w:val="none"/>
        </w:rPr>
        <w:sectPr>
          <w:footnotePr/>
          <w:endnotePr/>
          <w:type w:val="nextPage"/>
          <w:pgSz w:w="11907" w:h="16840" w:orient="portrait"/>
          <w:pgMar w:top="1440" w:right="1803" w:bottom="1440" w:left="1803" w:header="851" w:footer="851" w:gutter="0"/>
          <w:cols w:num="1" w:sep="0" w:space="1701" w:equalWidth="1"/>
          <w:docGrid w:linePitch="360"/>
        </w:sectPr>
        <w:outlineLvl w:val="0"/>
      </w:pPr>
      <w:r>
        <w:rPr>
          <w:b/>
          <w:color w:val="000000"/>
          <w:sz w:val="36"/>
          <w:szCs w:val="36"/>
          <w:highlight w:val="none"/>
        </w:rPr>
      </w:r>
      <w:r/>
    </w:p>
    <w:p>
      <w:pPr>
        <w:pStyle w:val="1005"/>
        <w:jc w:val="center"/>
        <w:spacing w:line="360" w:lineRule="auto"/>
        <w:rPr>
          <w:b/>
          <w:color w:val="000000"/>
          <w:sz w:val="36"/>
          <w:szCs w:val="36"/>
          <w:highlight w:val="none"/>
        </w:rPr>
        <w:outlineLvl w:val="0"/>
      </w:pPr>
      <w:r/>
      <w:bookmarkStart w:id="821" w:name="_Toc11047"/>
      <w:r>
        <w:rPr>
          <w:b/>
          <w:color w:val="000000"/>
          <w:sz w:val="36"/>
          <w:szCs w:val="36"/>
          <w:highlight w:val="none"/>
        </w:rPr>
        <w:t xml:space="preserve">第七章   投标文件格式</w:t>
      </w:r>
      <w:bookmarkEnd w:id="821"/>
      <w:r>
        <w:rPr>
          <w:b/>
          <w:color w:val="000000"/>
          <w:sz w:val="36"/>
          <w:szCs w:val="36"/>
          <w:highlight w:val="none"/>
        </w:rPr>
      </w:r>
      <w:r/>
    </w:p>
    <w:p>
      <w:pPr>
        <w:pStyle w:val="1005"/>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005"/>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005"/>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1005"/>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1005"/>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w:t>
      </w:r>
      <w:r>
        <w:rPr>
          <w:rFonts w:hint="eastAsia"/>
          <w:color w:val="000000"/>
          <w:sz w:val="24"/>
          <w:highlight w:val="none"/>
          <w:lang w:eastAsia="zh-CN"/>
        </w:rPr>
        <w:t xml:space="preserve">“</w:t>
      </w:r>
      <w:r>
        <w:rPr>
          <w:color w:val="000000"/>
          <w:sz w:val="24"/>
          <w:highlight w:val="none"/>
        </w:rPr>
        <w:t xml:space="preserve">实质性格式</w:t>
      </w:r>
      <w:r>
        <w:rPr>
          <w:rFonts w:hint="eastAsia"/>
          <w:color w:val="000000"/>
          <w:sz w:val="24"/>
          <w:highlight w:val="none"/>
          <w:lang w:eastAsia="zh-CN"/>
        </w:rPr>
        <w:t xml:space="preserve">”</w:t>
      </w:r>
      <w:r>
        <w:rPr>
          <w:color w:val="000000"/>
          <w:sz w:val="24"/>
          <w:highlight w:val="none"/>
        </w:rPr>
        <w:t xml:space="preserve">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w:t>
      </w:r>
      <w:r>
        <w:rPr>
          <w:rFonts w:hint="eastAsia"/>
          <w:color w:val="000000"/>
          <w:sz w:val="24"/>
          <w:highlight w:val="none"/>
          <w:lang w:eastAsia="zh-CN"/>
        </w:rPr>
        <w:t xml:space="preserve">“</w:t>
      </w:r>
      <w:r>
        <w:rPr>
          <w:color w:val="000000"/>
          <w:sz w:val="24"/>
          <w:highlight w:val="none"/>
        </w:rPr>
        <w:t xml:space="preserve">实质性格式</w:t>
      </w:r>
      <w:r>
        <w:rPr>
          <w:rFonts w:hint="eastAsia"/>
          <w:color w:val="000000"/>
          <w:sz w:val="24"/>
          <w:highlight w:val="none"/>
          <w:lang w:eastAsia="zh-CN"/>
        </w:rPr>
        <w:t xml:space="preserve">”</w:t>
      </w:r>
      <w:r>
        <w:rPr>
          <w:color w:val="000000"/>
          <w:sz w:val="24"/>
          <w:highlight w:val="none"/>
        </w:rPr>
        <w:t xml:space="preserve">的文件和招标文件未提供格式的内容，可由投标人自行编写。</w:t>
      </w:r>
      <w:r>
        <w:rPr>
          <w:color w:val="000000"/>
          <w:sz w:val="24"/>
          <w:highlight w:val="none"/>
        </w:rPr>
      </w:r>
      <w:r/>
    </w:p>
    <w:p>
      <w:pPr>
        <w:pStyle w:val="1005"/>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1005"/>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1005"/>
        <w:jc w:val="left"/>
        <w:widowControl/>
        <w:rPr>
          <w:color w:val="000000"/>
          <w:sz w:val="24"/>
          <w:highlight w:val="none"/>
        </w:rPr>
      </w:pPr>
      <w:r>
        <w:rPr>
          <w:color w:val="000000"/>
          <w:sz w:val="24"/>
          <w:highlight w:val="none"/>
        </w:rPr>
        <w:br w:type="page" w:clear="all"/>
      </w:r>
      <w:r>
        <w:rPr>
          <w:color w:val="000000"/>
          <w:sz w:val="24"/>
          <w:highlight w:val="none"/>
        </w:rPr>
      </w:r>
      <w:r/>
    </w:p>
    <w:p>
      <w:pPr>
        <w:pStyle w:val="1005"/>
        <w:jc w:val="left"/>
        <w:keepLines/>
        <w:keepNext/>
        <w:spacing w:before="120" w:line="300" w:lineRule="auto"/>
        <w:rPr>
          <w:b/>
          <w:color w:val="000000"/>
          <w:sz w:val="30"/>
          <w:szCs w:val="20"/>
          <w:highlight w:val="none"/>
        </w:rPr>
        <w:outlineLvl w:val="1"/>
      </w:pPr>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b/>
          <w:color w:val="000000"/>
          <w:spacing w:val="20"/>
          <w:sz w:val="24"/>
          <w:highlight w:val="none"/>
        </w:rPr>
        <w:t xml:space="preserve">一、资格证明文件格式</w:t>
      </w:r>
      <w:r>
        <w:rPr>
          <w:b/>
          <w:color w:val="000000"/>
          <w:sz w:val="30"/>
          <w:szCs w:val="20"/>
          <w:highlight w:val="none"/>
        </w:rPr>
      </w:r>
      <w:r/>
    </w:p>
    <w:p>
      <w:pPr>
        <w:pStyle w:val="1005"/>
        <w:rPr>
          <w:b/>
          <w:color w:val="000000"/>
          <w:spacing w:val="20"/>
          <w:szCs w:val="21"/>
          <w:highlight w:val="none"/>
        </w:rPr>
      </w:pPr>
      <w:r>
        <w:rPr>
          <w:b/>
          <w:color w:val="000000"/>
          <w:spacing w:val="20"/>
          <w:szCs w:val="21"/>
          <w:highlight w:val="none"/>
        </w:rPr>
      </w:r>
      <w:r/>
    </w:p>
    <w:p>
      <w:pPr>
        <w:pStyle w:val="1005"/>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1005"/>
        <w:jc w:val="center"/>
        <w:rPr>
          <w:color w:val="000000"/>
          <w:szCs w:val="21"/>
          <w:highlight w:val="none"/>
        </w:rPr>
      </w:pPr>
      <w:r>
        <w:rPr>
          <w:color w:val="000000"/>
          <w:szCs w:val="21"/>
          <w:highlight w:val="none"/>
        </w:rPr>
      </w:r>
      <w:r/>
    </w:p>
    <w:p>
      <w:pPr>
        <w:pStyle w:val="1005"/>
        <w:jc w:val="center"/>
        <w:rPr>
          <w:b/>
          <w:color w:val="000000"/>
          <w:spacing w:val="60"/>
          <w:sz w:val="84"/>
          <w:szCs w:val="84"/>
          <w:highlight w:val="none"/>
        </w:rPr>
      </w:pPr>
      <w:r>
        <w:rPr>
          <w:b/>
          <w:color w:val="000000"/>
          <w:spacing w:val="60"/>
          <w:sz w:val="84"/>
          <w:szCs w:val="84"/>
          <w:highlight w:val="none"/>
        </w:rPr>
      </w:r>
      <w:r/>
    </w:p>
    <w:p>
      <w:pPr>
        <w:pStyle w:val="1005"/>
        <w:jc w:val="center"/>
        <w:rPr>
          <w:b/>
          <w:color w:val="000000"/>
          <w:spacing w:val="60"/>
          <w:sz w:val="84"/>
          <w:szCs w:val="84"/>
          <w:highlight w:val="none"/>
        </w:rPr>
      </w:pPr>
      <w:r>
        <w:rPr>
          <w:b/>
          <w:color w:val="000000"/>
          <w:spacing w:val="60"/>
          <w:sz w:val="84"/>
          <w:szCs w:val="84"/>
          <w:highlight w:val="none"/>
        </w:rPr>
      </w:r>
      <w:r/>
    </w:p>
    <w:p>
      <w:pPr>
        <w:pStyle w:val="1005"/>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005"/>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05"/>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05"/>
        <w:ind w:firstLine="542"/>
        <w:rPr>
          <w:b/>
          <w:color w:val="000000"/>
          <w:spacing w:val="20"/>
          <w:sz w:val="32"/>
          <w:szCs w:val="32"/>
          <w:highlight w:val="none"/>
        </w:rPr>
      </w:pPr>
      <w:r>
        <w:rPr>
          <w:b/>
          <w:color w:val="000000"/>
          <w:spacing w:val="20"/>
          <w:sz w:val="32"/>
          <w:szCs w:val="32"/>
          <w:highlight w:val="none"/>
        </w:rPr>
      </w:r>
      <w:r/>
    </w:p>
    <w:p>
      <w:pPr>
        <w:pStyle w:val="1005"/>
        <w:ind w:firstLine="542"/>
        <w:rPr>
          <w:b/>
          <w:color w:val="000000"/>
          <w:spacing w:val="20"/>
          <w:sz w:val="32"/>
          <w:szCs w:val="32"/>
          <w:highlight w:val="none"/>
        </w:rPr>
      </w:pPr>
      <w:r>
        <w:rPr>
          <w:b/>
          <w:color w:val="000000"/>
          <w:spacing w:val="20"/>
          <w:sz w:val="32"/>
          <w:szCs w:val="32"/>
          <w:highlight w:val="none"/>
        </w:rPr>
      </w:r>
      <w:r/>
    </w:p>
    <w:p>
      <w:pPr>
        <w:pStyle w:val="1005"/>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05"/>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05"/>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05"/>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05"/>
        <w:jc w:val="center"/>
        <w:rPr>
          <w:b/>
          <w:color w:val="000000"/>
          <w:sz w:val="32"/>
          <w:szCs w:val="32"/>
          <w:highlight w:val="none"/>
        </w:rPr>
      </w:pPr>
      <w:r>
        <w:rPr>
          <w:b/>
          <w:color w:val="000000"/>
          <w:sz w:val="32"/>
          <w:szCs w:val="32"/>
          <w:highlight w:val="none"/>
        </w:rPr>
      </w:r>
      <w:r/>
    </w:p>
    <w:p>
      <w:pPr>
        <w:pStyle w:val="1005"/>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05"/>
        <w:rPr>
          <w:b/>
          <w:color w:val="000000"/>
          <w:highlight w:val="none"/>
        </w:rPr>
      </w:pPr>
      <w:r>
        <w:rPr>
          <w:b/>
          <w:color w:val="000000"/>
          <w:highlight w:val="none"/>
        </w:rPr>
      </w:r>
      <w:r/>
    </w:p>
    <w:p>
      <w:pPr>
        <w:pStyle w:val="1005"/>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08"/>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color w:val="000000"/>
          <w:highlight w:val="none"/>
          <w:u w:val="none"/>
        </w:rPr>
        <w:t xml:space="preserve">（实质性格式）</w:t>
      </w:r>
      <w:r>
        <w:rPr>
          <w:rFonts w:ascii="Times New Roman"/>
          <w:b w:val="0"/>
          <w:bCs/>
          <w:color w:val="000000"/>
          <w:highlight w:val="none"/>
          <w:u w:val="none"/>
        </w:rPr>
      </w:r>
      <w:r/>
    </w:p>
    <w:p>
      <w:pPr>
        <w:pStyle w:val="1005"/>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05"/>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20"/>
        <w:ind w:firstLine="480"/>
        <w:spacing w:line="460" w:lineRule="exact"/>
        <w:rPr>
          <w:color w:val="000000"/>
          <w:highlight w:val="none"/>
        </w:rPr>
      </w:pPr>
      <w:r>
        <w:rPr>
          <w:color w:val="000000"/>
          <w:highlight w:val="none"/>
        </w:rPr>
      </w:r>
      <w:r/>
    </w:p>
    <w:p>
      <w:pPr>
        <w:pStyle w:val="1020"/>
        <w:ind w:firstLine="480"/>
        <w:spacing w:line="460" w:lineRule="exact"/>
        <w:rPr>
          <w:color w:val="000000"/>
          <w:highlight w:val="none"/>
        </w:rPr>
      </w:pPr>
      <w:r>
        <w:rPr>
          <w:rFonts w:hint="eastAsia"/>
          <w:color w:val="000000"/>
          <w:highlight w:val="none"/>
        </w:rPr>
        <w:t xml:space="preserve">致：江苏中冠工程咨询有限公司</w:t>
      </w:r>
      <w:r>
        <w:rPr>
          <w:color w:val="000000"/>
          <w:highlight w:val="none"/>
        </w:rPr>
      </w:r>
      <w:r/>
    </w:p>
    <w:p>
      <w:pPr>
        <w:pStyle w:val="1020"/>
        <w:ind w:firstLine="960"/>
        <w:spacing w:line="460" w:lineRule="exact"/>
        <w:rPr>
          <w:color w:val="000000"/>
          <w:highlight w:val="none"/>
          <w:u w:val="single"/>
        </w:rPr>
      </w:pPr>
      <w:r>
        <w:rPr>
          <w:rFonts w:hint="eastAsia"/>
          <w:color w:val="000000"/>
          <w:highlight w:val="none"/>
          <w:u w:val="single"/>
        </w:rPr>
        <w:t xml:space="preserve">（招标人名称）</w:t>
      </w:r>
      <w:r>
        <w:rPr>
          <w:color w:val="000000"/>
          <w:highlight w:val="none"/>
          <w:u w:val="single"/>
        </w:rPr>
      </w:r>
      <w:r/>
    </w:p>
    <w:p>
      <w:pPr>
        <w:pStyle w:val="1020"/>
        <w:ind w:firstLine="480"/>
        <w:spacing w:line="460" w:lineRule="exact"/>
        <w:rPr>
          <w:color w:val="000000"/>
          <w:highlight w:val="none"/>
        </w:rPr>
      </w:pPr>
      <w:r>
        <w:rPr>
          <w:color w:val="000000"/>
          <w:highlight w:val="none"/>
        </w:rPr>
      </w:r>
      <w:r/>
    </w:p>
    <w:p>
      <w:pPr>
        <w:pStyle w:val="1020"/>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020"/>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20"/>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020"/>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020"/>
        <w:ind w:firstLine="480"/>
        <w:spacing w:line="460" w:lineRule="exact"/>
        <w:rPr>
          <w:rFonts w:hint="eastAsia"/>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rFonts w:hint="eastAsia"/>
          <w:color w:val="000000"/>
          <w:highlight w:val="none"/>
        </w:rPr>
      </w:r>
      <w:r/>
    </w:p>
    <w:p>
      <w:pPr>
        <w:pStyle w:val="1020"/>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20"/>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20"/>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w:t>
      </w:r>
      <w:r>
        <w:rPr>
          <w:rFonts w:hint="eastAsia"/>
          <w:color w:val="000000"/>
          <w:highlight w:val="none"/>
          <w:lang w:eastAsia="zh-CN"/>
        </w:rPr>
        <w:t xml:space="preserve">“</w:t>
      </w:r>
      <w:r>
        <w:rPr>
          <w:rFonts w:hint="eastAsia"/>
          <w:color w:val="000000"/>
          <w:highlight w:val="none"/>
        </w:rPr>
        <w:t xml:space="preserve">较大数额罚款</w:t>
      </w:r>
      <w:r>
        <w:rPr>
          <w:rFonts w:hint="eastAsia"/>
          <w:color w:val="000000"/>
          <w:highlight w:val="none"/>
          <w:lang w:eastAsia="zh-CN"/>
        </w:rPr>
        <w:t xml:space="preserve">”</w:t>
      </w:r>
      <w:r>
        <w:rPr>
          <w:rFonts w:hint="eastAsia"/>
          <w:color w:val="000000"/>
          <w:highlight w:val="none"/>
        </w:rPr>
        <w:t xml:space="preserve">标准的；法律、法规、规章、国务院有关行政主管部门对</w:t>
      </w:r>
      <w:r>
        <w:rPr>
          <w:rFonts w:hint="eastAsia"/>
          <w:color w:val="000000"/>
          <w:highlight w:val="none"/>
          <w:lang w:eastAsia="zh-CN"/>
        </w:rPr>
        <w:t xml:space="preserve">“</w:t>
      </w:r>
      <w:r>
        <w:rPr>
          <w:rFonts w:hint="eastAsia"/>
          <w:color w:val="000000"/>
          <w:highlight w:val="none"/>
        </w:rPr>
        <w:t xml:space="preserve">较大数额罚款</w:t>
      </w:r>
      <w:r>
        <w:rPr>
          <w:rFonts w:hint="eastAsia"/>
          <w:color w:val="000000"/>
          <w:highlight w:val="none"/>
          <w:lang w:eastAsia="zh-CN"/>
        </w:rPr>
        <w:t xml:space="preserve">”</w:t>
      </w:r>
      <w:r>
        <w:rPr>
          <w:rFonts w:hint="eastAsia"/>
          <w:color w:val="000000"/>
          <w:highlight w:val="none"/>
        </w:rPr>
        <w:t xml:space="preserve">标准另有规定的，从其规定。（投标人如在参加政府采购活动前3年内因违法经营被禁止在一定期限内参加政府采购活动，期限届满的，可以参加政府采购活动。）</w:t>
      </w:r>
      <w:r>
        <w:rPr>
          <w:color w:val="000000"/>
          <w:highlight w:val="none"/>
        </w:rPr>
      </w:r>
      <w:r/>
    </w:p>
    <w:p>
      <w:pPr>
        <w:pStyle w:val="1020"/>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020"/>
        <w:ind w:firstLine="480"/>
        <w:spacing w:line="460" w:lineRule="exact"/>
        <w:rPr>
          <w:color w:val="000000"/>
          <w:highlight w:val="none"/>
        </w:rPr>
      </w:pPr>
      <w:r>
        <w:rPr>
          <w:rFonts w:hint="eastAsia"/>
          <w:color w:val="000000"/>
          <w:highlight w:val="none"/>
        </w:rPr>
        <w:t xml:space="preserve">七、与我单位存在</w:t>
      </w:r>
      <w:r>
        <w:rPr>
          <w:rFonts w:hint="eastAsia"/>
          <w:color w:val="000000"/>
          <w:highlight w:val="none"/>
          <w:lang w:eastAsia="zh-CN"/>
        </w:rPr>
        <w:t xml:space="preserve">“</w:t>
      </w:r>
      <w:r>
        <w:rPr>
          <w:rFonts w:hint="eastAsia"/>
          <w:color w:val="000000"/>
          <w:highlight w:val="none"/>
        </w:rPr>
        <w:t xml:space="preserve">单位负责人为同一人或者存在直接控股、管理关系</w:t>
      </w:r>
      <w:r>
        <w:rPr>
          <w:rFonts w:hint="eastAsia"/>
          <w:color w:val="000000"/>
          <w:highlight w:val="none"/>
          <w:lang w:eastAsia="zh-CN"/>
        </w:rPr>
        <w:t xml:space="preserve">”</w:t>
      </w:r>
      <w:r>
        <w:rPr>
          <w:rFonts w:hint="eastAsia"/>
          <w:color w:val="000000"/>
          <w:highlight w:val="none"/>
        </w:rPr>
        <w:t xml:space="preserve">的其他单位信息如下（如无此情形的，填写</w:t>
      </w:r>
      <w:r>
        <w:rPr>
          <w:rFonts w:hint="eastAsia"/>
          <w:color w:val="000000"/>
          <w:highlight w:val="none"/>
          <w:lang w:eastAsia="zh-CN"/>
        </w:rPr>
        <w:t xml:space="preserve">“</w:t>
      </w:r>
      <w:r>
        <w:rPr>
          <w:rFonts w:hint="eastAsia"/>
          <w:color w:val="000000"/>
          <w:highlight w:val="none"/>
        </w:rPr>
        <w:t xml:space="preserve">无</w:t>
      </w:r>
      <w:r>
        <w:rPr>
          <w:rFonts w:hint="eastAsia"/>
          <w:color w:val="000000"/>
          <w:highlight w:val="none"/>
          <w:lang w:eastAsia="zh-CN"/>
        </w:rPr>
        <w:t xml:space="preserve">”</w:t>
      </w:r>
      <w:r>
        <w:rPr>
          <w:rFonts w:hint="eastAsia"/>
          <w:color w:val="000000"/>
          <w:highlight w:val="none"/>
        </w:rPr>
        <w:t xml:space="preserve">）：</w:t>
      </w:r>
      <w:r>
        <w:rPr>
          <w:color w:val="000000"/>
          <w:highlight w:val="none"/>
        </w:rPr>
      </w:r>
      <w:r/>
    </w:p>
    <w:p>
      <w:pPr>
        <w:pStyle w:val="1020"/>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color w:val="000000"/>
          <w:highlight w:val="none"/>
          <w:u w:val="single"/>
        </w:rPr>
        <w:t xml:space="preserve"> </w:t>
      </w:r>
      <w:r>
        <w:rPr>
          <w:color w:val="000000"/>
          <w:highlight w:val="none"/>
        </w:rPr>
      </w:r>
      <w:r/>
    </w:p>
    <w:p>
      <w:pPr>
        <w:pStyle w:val="1020"/>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color w:val="000000"/>
          <w:highlight w:val="none"/>
        </w:rPr>
      </w:r>
      <w:r/>
    </w:p>
    <w:p>
      <w:pPr>
        <w:pStyle w:val="1020"/>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color w:val="000000"/>
          <w:highlight w:val="none"/>
        </w:rPr>
      </w:r>
      <w:r/>
    </w:p>
    <w:p>
      <w:pPr>
        <w:pStyle w:val="1020"/>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020"/>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020"/>
        <w:ind w:firstLine="480"/>
        <w:spacing w:line="460" w:lineRule="exact"/>
        <w:rPr>
          <w:color w:val="000000"/>
          <w:highlight w:val="none"/>
        </w:rPr>
      </w:pPr>
      <w:r>
        <w:rPr>
          <w:color w:val="000000"/>
          <w:highlight w:val="none"/>
        </w:rPr>
        <w:t xml:space="preserve">1</w:t>
      </w:r>
      <w:r>
        <w:rPr>
          <w:rFonts w:hint="eastAsia"/>
          <w:color w:val="000000"/>
          <w:highlight w:val="none"/>
        </w:rPr>
        <w:t xml:space="preserve">、在</w:t>
      </w:r>
      <w:r>
        <w:rPr>
          <w:rFonts w:hint="eastAsia"/>
          <w:color w:val="000000"/>
          <w:highlight w:val="none"/>
          <w:lang w:eastAsia="zh-CN"/>
        </w:rPr>
        <w:t xml:space="preserve">“</w:t>
      </w:r>
      <w:r>
        <w:rPr>
          <w:rFonts w:hint="eastAsia"/>
          <w:color w:val="000000"/>
          <w:highlight w:val="none"/>
        </w:rPr>
        <w:t xml:space="preserve">信用中国</w:t>
      </w:r>
      <w:r>
        <w:rPr>
          <w:rFonts w:hint="eastAsia"/>
          <w:color w:val="000000"/>
          <w:highlight w:val="none"/>
          <w:lang w:eastAsia="zh-CN"/>
        </w:rPr>
        <w:t xml:space="preserve">”</w:t>
      </w:r>
      <w:r>
        <w:rPr>
          <w:rFonts w:hint="eastAsia"/>
          <w:color w:val="000000"/>
          <w:highlight w:val="none"/>
        </w:rPr>
        <w:t xml:space="preserve">网站被列入失信被执行人和重大税收违法案件当事人名单；</w:t>
      </w:r>
      <w:r>
        <w:rPr>
          <w:color w:val="000000"/>
          <w:highlight w:val="none"/>
        </w:rPr>
      </w:r>
      <w:r/>
    </w:p>
    <w:p>
      <w:pPr>
        <w:pStyle w:val="1020"/>
        <w:ind w:firstLine="480"/>
        <w:spacing w:line="460" w:lineRule="exact"/>
        <w:rPr>
          <w:color w:val="000000"/>
          <w:highlight w:val="none"/>
        </w:rPr>
      </w:pPr>
      <w:r>
        <w:rPr>
          <w:color w:val="000000"/>
          <w:highlight w:val="none"/>
        </w:rPr>
        <w:t xml:space="preserve">2</w:t>
      </w:r>
      <w:r>
        <w:rPr>
          <w:rFonts w:hint="eastAsia"/>
          <w:color w:val="000000"/>
          <w:highlight w:val="none"/>
        </w:rPr>
        <w:t xml:space="preserve">、在</w:t>
      </w:r>
      <w:r>
        <w:rPr>
          <w:rFonts w:hint="eastAsia"/>
          <w:color w:val="000000"/>
          <w:highlight w:val="none"/>
          <w:lang w:eastAsia="zh-CN"/>
        </w:rPr>
        <w:t xml:space="preserve">“</w:t>
      </w:r>
      <w:r>
        <w:rPr>
          <w:rFonts w:hint="eastAsia"/>
          <w:color w:val="000000"/>
          <w:highlight w:val="none"/>
        </w:rPr>
        <w:t xml:space="preserve">中国政府采购网</w:t>
      </w:r>
      <w:r>
        <w:rPr>
          <w:rFonts w:hint="eastAsia"/>
          <w:color w:val="000000"/>
          <w:highlight w:val="none"/>
          <w:lang w:eastAsia="zh-CN"/>
        </w:rPr>
        <w:t xml:space="preserve">”</w:t>
      </w:r>
      <w:r>
        <w:rPr>
          <w:rFonts w:hint="eastAsia"/>
          <w:color w:val="000000"/>
          <w:highlight w:val="none"/>
        </w:rPr>
        <w:t xml:space="preserve">网站被列入政府采购严重违法失信行为记录名单；</w:t>
      </w:r>
      <w:r>
        <w:rPr>
          <w:color w:val="000000"/>
          <w:highlight w:val="none"/>
        </w:rPr>
      </w:r>
      <w:r/>
    </w:p>
    <w:p>
      <w:pPr>
        <w:pStyle w:val="1020"/>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20"/>
        <w:ind w:firstLine="480"/>
        <w:spacing w:line="460" w:lineRule="exact"/>
        <w:rPr>
          <w:color w:val="000000"/>
          <w:highlight w:val="none"/>
        </w:rPr>
      </w:pPr>
      <w:r>
        <w:rPr>
          <w:color w:val="000000"/>
          <w:highlight w:val="none"/>
        </w:rPr>
      </w:r>
      <w:r/>
    </w:p>
    <w:p>
      <w:pPr>
        <w:pStyle w:val="1020"/>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20"/>
        <w:ind w:firstLine="480"/>
        <w:spacing w:line="460" w:lineRule="exact"/>
        <w:rPr>
          <w:color w:val="000000"/>
          <w:highlight w:val="none"/>
        </w:rPr>
      </w:pPr>
      <w:r>
        <w:rPr>
          <w:color w:val="000000"/>
          <w:highlight w:val="none"/>
        </w:rPr>
      </w:r>
      <w:r/>
    </w:p>
    <w:p>
      <w:pPr>
        <w:pStyle w:val="1020"/>
        <w:ind w:firstLine="480"/>
        <w:spacing w:line="460" w:lineRule="exact"/>
        <w:rPr>
          <w:color w:val="000000"/>
          <w:highlight w:val="none"/>
        </w:rPr>
      </w:pPr>
      <w:r>
        <w:rPr>
          <w:color w:val="000000"/>
          <w:highlight w:val="none"/>
        </w:rPr>
      </w:r>
      <w:r/>
    </w:p>
    <w:p>
      <w:pPr>
        <w:pStyle w:val="1020"/>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020"/>
        <w:ind w:firstLine="480"/>
        <w:spacing w:line="460" w:lineRule="exact"/>
        <w:rPr>
          <w:color w:val="000000"/>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法定代表人（或单位负责人）签字或盖章：</w:t>
      </w:r>
      <w:r>
        <w:rPr>
          <w:color w:val="000000"/>
          <w:highlight w:val="none"/>
        </w:rPr>
      </w:r>
      <w:r/>
    </w:p>
    <w:p>
      <w:pPr>
        <w:pStyle w:val="1020"/>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05"/>
        <w:spacing w:line="360" w:lineRule="auto"/>
        <w:rPr>
          <w:rFonts w:hint="eastAsia"/>
          <w:color w:val="000000"/>
          <w:sz w:val="24"/>
          <w:highlight w:val="none"/>
        </w:rPr>
      </w:pPr>
      <w:r>
        <w:rPr>
          <w:rFonts w:hint="eastAsia"/>
          <w:color w:val="000000"/>
          <w:sz w:val="24"/>
          <w:highlight w:val="none"/>
        </w:rPr>
      </w:r>
      <w:r/>
    </w:p>
    <w:p>
      <w:pPr>
        <w:pStyle w:val="1005"/>
        <w:spacing w:line="360" w:lineRule="auto"/>
        <w:rPr>
          <w:rFonts w:hint="eastAsia"/>
          <w:color w:val="000000"/>
          <w:sz w:val="24"/>
          <w:highlight w:val="none"/>
        </w:rPr>
      </w:pPr>
      <w:r>
        <w:rPr>
          <w:rFonts w:hint="eastAsia"/>
          <w:color w:val="000000"/>
          <w:sz w:val="24"/>
          <w:highlight w:val="none"/>
        </w:rPr>
      </w:r>
      <w:r/>
    </w:p>
    <w:p>
      <w:pPr>
        <w:pStyle w:val="1005"/>
        <w:spacing w:line="360" w:lineRule="auto"/>
        <w:rPr>
          <w:rFonts w:hint="eastAsia"/>
          <w:color w:val="000000"/>
          <w:sz w:val="24"/>
          <w:highlight w:val="none"/>
        </w:rPr>
      </w:pPr>
      <w:r>
        <w:rPr>
          <w:rFonts w:hint="eastAsia"/>
          <w:color w:val="000000"/>
          <w:sz w:val="24"/>
          <w:highlight w:val="none"/>
        </w:rPr>
      </w:r>
      <w:r/>
    </w:p>
    <w:p>
      <w:pPr>
        <w:pStyle w:val="1005"/>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投标人承诺不实的，依据《政府采购法》第七十七条</w:t>
      </w:r>
      <w:r>
        <w:rPr>
          <w:rFonts w:hint="eastAsia"/>
          <w:color w:val="000000"/>
          <w:sz w:val="24"/>
          <w:highlight w:val="none"/>
          <w:lang w:eastAsia="zh-CN"/>
        </w:rPr>
        <w:t xml:space="preserve">“</w:t>
      </w:r>
      <w:r>
        <w:rPr>
          <w:rFonts w:hint="eastAsia"/>
          <w:color w:val="000000"/>
          <w:sz w:val="24"/>
          <w:highlight w:val="none"/>
        </w:rPr>
        <w:t xml:space="preserve">提供虚假材料谋取中标的</w:t>
      </w:r>
      <w:r>
        <w:rPr>
          <w:rFonts w:hint="eastAsia"/>
          <w:color w:val="000000"/>
          <w:sz w:val="24"/>
          <w:highlight w:val="none"/>
          <w:lang w:eastAsia="zh-CN"/>
        </w:rPr>
        <w:t xml:space="preserve">”</w:t>
      </w:r>
      <w:r>
        <w:rPr>
          <w:rFonts w:hint="eastAsia"/>
          <w:color w:val="000000"/>
          <w:sz w:val="24"/>
          <w:highlight w:val="none"/>
        </w:rPr>
        <w:t xml:space="preserve">有关规定予以处理</w:t>
      </w:r>
      <w:r>
        <w:rPr>
          <w:color w:val="000000"/>
          <w:sz w:val="24"/>
          <w:highlight w:val="none"/>
        </w:rPr>
        <w:t xml:space="preserve">。</w:t>
      </w:r>
      <w:r>
        <w:rPr>
          <w:color w:val="000000"/>
          <w:sz w:val="24"/>
          <w:highlight w:val="none"/>
        </w:rPr>
      </w:r>
      <w:r/>
    </w:p>
    <w:p>
      <w:pPr>
        <w:pStyle w:val="1005"/>
        <w:spacing w:line="360" w:lineRule="auto"/>
        <w:tabs>
          <w:tab w:val="left" w:pos="5580" w:leader="none"/>
        </w:tabs>
        <w:rPr>
          <w:color w:val="000000"/>
          <w:sz w:val="24"/>
          <w:highlight w:val="none"/>
        </w:rPr>
        <w:sectPr>
          <w:footnotePr/>
          <w:endnotePr/>
          <w:type w:val="nextPage"/>
          <w:pgSz w:w="11907" w:h="16840" w:orient="portrait"/>
          <w:pgMar w:top="1440" w:right="1803" w:bottom="1440" w:left="1803" w:header="851" w:footer="851" w:gutter="0"/>
          <w:cols w:num="1" w:sep="0" w:space="1701" w:equalWidth="1"/>
          <w:docGrid w:linePitch="360"/>
        </w:sectPr>
      </w:pPr>
      <w:r>
        <w:rPr>
          <w:color w:val="000000"/>
          <w:sz w:val="24"/>
          <w:highlight w:val="none"/>
        </w:rPr>
      </w:r>
      <w:r/>
    </w:p>
    <w:p>
      <w:pPr>
        <w:pStyle w:val="1005"/>
        <w:spacing w:line="360" w:lineRule="auto"/>
        <w:rPr>
          <w:color w:val="000000"/>
          <w:sz w:val="24"/>
          <w:szCs w:val="20"/>
          <w:highlight w:val="none"/>
        </w:rPr>
        <w:outlineLvl w:val="2"/>
      </w:pPr>
      <w:r>
        <w:rPr>
          <w:color w:val="000000"/>
          <w:sz w:val="24"/>
          <w:szCs w:val="20"/>
          <w:highlight w:val="none"/>
        </w:rPr>
        <w:t xml:space="preserve">2 落实政府采购政策需满足的资格要求（如有）</w:t>
      </w:r>
      <w:r>
        <w:rPr>
          <w:color w:val="000000"/>
          <w:sz w:val="24"/>
          <w:szCs w:val="20"/>
          <w:highlight w:val="none"/>
        </w:rPr>
      </w:r>
      <w:r/>
    </w:p>
    <w:p>
      <w:pPr>
        <w:pStyle w:val="1005"/>
        <w:spacing w:line="360" w:lineRule="auto"/>
        <w:rPr>
          <w:color w:val="000000"/>
          <w:sz w:val="24"/>
          <w:szCs w:val="20"/>
          <w:highlight w:val="none"/>
        </w:rPr>
        <w:outlineLvl w:val="2"/>
      </w:pPr>
      <w:r>
        <w:rPr>
          <w:color w:val="000000"/>
          <w:sz w:val="24"/>
          <w:szCs w:val="20"/>
          <w:highlight w:val="none"/>
        </w:rPr>
        <w:t xml:space="preserve">2-1中小企业声明函</w:t>
      </w:r>
      <w:r>
        <w:rPr>
          <w:color w:val="000000"/>
          <w:sz w:val="24"/>
          <w:szCs w:val="20"/>
          <w:highlight w:val="none"/>
        </w:rPr>
      </w:r>
      <w:r/>
    </w:p>
    <w:p>
      <w:pPr>
        <w:pStyle w:val="1005"/>
        <w:spacing w:line="360" w:lineRule="auto"/>
        <w:tabs>
          <w:tab w:val="left" w:pos="5580" w:leader="none"/>
        </w:tabs>
        <w:rPr>
          <w:color w:val="000000"/>
          <w:sz w:val="24"/>
          <w:highlight w:val="none"/>
        </w:rPr>
      </w:pPr>
      <w:r>
        <w:rPr>
          <w:color w:val="000000"/>
          <w:sz w:val="24"/>
          <w:highlight w:val="none"/>
        </w:rPr>
      </w:r>
      <w:r/>
    </w:p>
    <w:p>
      <w:pPr>
        <w:pStyle w:val="1005"/>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1005"/>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资格证明文件部分</w:t>
      </w:r>
      <w:r>
        <w:rPr>
          <w:color w:val="000000"/>
          <w:sz w:val="24"/>
          <w:highlight w:val="none"/>
        </w:rPr>
        <w:t xml:space="preserve">无需提供《中小企业声明函》。</w:t>
      </w:r>
      <w:r>
        <w:rPr>
          <w:color w:val="000000"/>
          <w:sz w:val="24"/>
          <w:highlight w:val="none"/>
        </w:rPr>
      </w:r>
      <w:r/>
    </w:p>
    <w:p>
      <w:pPr>
        <w:pStyle w:val="1005"/>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1005"/>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1005"/>
        <w:spacing w:line="360" w:lineRule="auto"/>
        <w:tabs>
          <w:tab w:val="left" w:pos="5580" w:leader="none"/>
        </w:tabs>
        <w:rPr>
          <w:color w:val="000000"/>
          <w:sz w:val="24"/>
          <w:highlight w:val="none"/>
        </w:rPr>
      </w:pPr>
      <w:r>
        <w:rPr>
          <w:rFonts w:hint="eastAsia"/>
          <w:color w:val="000000"/>
          <w:sz w:val="24"/>
          <w:highlight w:val="none"/>
        </w:rPr>
        <w:t xml:space="preserve">（4）其他</w:t>
      </w:r>
      <w:r>
        <w:rPr>
          <w:color w:val="000000"/>
          <w:sz w:val="24"/>
          <w:highlight w:val="none"/>
        </w:rPr>
      </w:r>
      <w:r/>
    </w:p>
    <w:p>
      <w:pPr>
        <w:pStyle w:val="1005"/>
        <w:spacing w:line="360" w:lineRule="auto"/>
        <w:tabs>
          <w:tab w:val="left" w:pos="5580" w:leader="none"/>
        </w:tabs>
        <w:rPr>
          <w:color w:val="000000"/>
          <w:sz w:val="24"/>
          <w:highlight w:val="none"/>
        </w:rPr>
      </w:pPr>
      <w:r>
        <w:rPr>
          <w:rFonts w:hint="eastAsia"/>
          <w:color w:val="000000"/>
          <w:sz w:val="24"/>
          <w:highlight w:val="none"/>
        </w:rPr>
        <w:t xml:space="preserve">1）中小企业参加政府采购活动，应当出具此格式文件。《中小企业声明函》由参加政府采购活动的投标人出具。联合体投标的，《中小企业声明函》由牵头人出具。</w:t>
      </w:r>
      <w:r>
        <w:rPr>
          <w:color w:val="000000"/>
          <w:sz w:val="24"/>
          <w:highlight w:val="none"/>
        </w:rPr>
      </w:r>
      <w:r/>
    </w:p>
    <w:p>
      <w:pPr>
        <w:pStyle w:val="1005"/>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w:t>
      </w:r>
      <w:r>
        <w:rPr>
          <w:rFonts w:hint="eastAsia"/>
          <w:color w:val="000000"/>
          <w:sz w:val="24"/>
          <w:highlight w:val="none"/>
          <w:lang w:eastAsia="zh-CN"/>
        </w:rPr>
        <w:t xml:space="preserve">“</w:t>
      </w:r>
      <w:r>
        <w:rPr>
          <w:rFonts w:hint="eastAsia"/>
          <w:color w:val="000000"/>
          <w:sz w:val="24"/>
          <w:highlight w:val="none"/>
        </w:rPr>
        <w:t xml:space="preserve">项目名称</w:t>
      </w:r>
      <w:r>
        <w:rPr>
          <w:rFonts w:hint="eastAsia"/>
          <w:color w:val="000000"/>
          <w:sz w:val="24"/>
          <w:highlight w:val="none"/>
          <w:lang w:eastAsia="zh-CN"/>
        </w:rPr>
        <w:t xml:space="preserve">”</w:t>
      </w:r>
      <w:r>
        <w:rPr>
          <w:rFonts w:hint="eastAsia"/>
          <w:color w:val="000000"/>
          <w:sz w:val="24"/>
          <w:highlight w:val="none"/>
        </w:rPr>
        <w:t xml:space="preserve">部分标明联合体中中小企业承担的具体内容或者中小企业的具体分包内容。</w:t>
      </w:r>
      <w:r>
        <w:rPr>
          <w:color w:val="000000"/>
          <w:sz w:val="24"/>
          <w:highlight w:val="none"/>
        </w:rPr>
      </w:r>
      <w:r/>
    </w:p>
    <w:p>
      <w:pPr>
        <w:pStyle w:val="1005"/>
        <w:spacing w:line="360" w:lineRule="auto"/>
        <w:tabs>
          <w:tab w:val="left" w:pos="5580" w:leader="none"/>
        </w:tabs>
        <w:rPr>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color w:val="000000"/>
          <w:sz w:val="24"/>
          <w:highlight w:val="none"/>
        </w:rPr>
      </w:r>
      <w:r/>
    </w:p>
    <w:p>
      <w:pPr>
        <w:pStyle w:val="1005"/>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color w:val="000000"/>
          <w:sz w:val="24"/>
          <w:highlight w:val="none"/>
        </w:rPr>
      </w:r>
      <w:r/>
    </w:p>
    <w:p>
      <w:pPr>
        <w:pStyle w:val="1005"/>
        <w:jc w:val="left"/>
        <w:widowControl/>
        <w:rPr>
          <w:color w:val="000000"/>
          <w:sz w:val="24"/>
          <w:highlight w:val="none"/>
        </w:rPr>
      </w:pPr>
      <w:r>
        <w:rPr>
          <w:color w:val="000000"/>
          <w:sz w:val="24"/>
          <w:highlight w:val="none"/>
        </w:rPr>
        <w:br w:type="page" w:clear="all"/>
      </w:r>
      <w:r>
        <w:rPr>
          <w:color w:val="000000"/>
          <w:sz w:val="24"/>
          <w:highlight w:val="none"/>
        </w:rPr>
      </w:r>
      <w:r/>
    </w:p>
    <w:p>
      <w:pPr>
        <w:pStyle w:val="1005"/>
        <w:jc w:val="center"/>
        <w:spacing w:before="240" w:after="240" w:line="360" w:lineRule="auto"/>
        <w:rPr>
          <w:b/>
          <w:color w:val="000000"/>
          <w:sz w:val="36"/>
          <w:szCs w:val="36"/>
          <w:highlight w:val="none"/>
        </w:rPr>
      </w:pPr>
      <w:r>
        <w:rPr>
          <w:rFonts w:hint="eastAsia"/>
          <w:b/>
          <w:bCs/>
          <w:color w:val="000000"/>
          <w:sz w:val="36"/>
          <w:szCs w:val="36"/>
          <w:highlight w:val="none"/>
        </w:rPr>
        <w:t xml:space="preserve">中小企业声明函（服务）格式</w:t>
      </w:r>
      <w:r>
        <w:rPr>
          <w:b/>
          <w:color w:val="000000"/>
          <w:sz w:val="36"/>
          <w:szCs w:val="36"/>
          <w:highlight w:val="none"/>
        </w:rPr>
      </w:r>
      <w:r/>
    </w:p>
    <w:p>
      <w:pPr>
        <w:pStyle w:val="1005"/>
        <w:ind w:firstLine="504"/>
        <w:spacing w:line="360" w:lineRule="auto"/>
        <w:rPr>
          <w:color w:val="000000"/>
          <w:spacing w:val="6"/>
          <w:sz w:val="24"/>
          <w:highlight w:val="none"/>
        </w:rPr>
      </w:pPr>
      <w:r>
        <w:rPr>
          <w:color w:val="000000"/>
          <w:spacing w:val="6"/>
          <w:sz w:val="24"/>
          <w:highlight w:val="none"/>
        </w:rPr>
        <w:t xml:space="preserve">本公司郑重声明，根据《政府采购促进中小企业发展管理办法》（财库﹝2020﹞46 号）的规定，本公司参加</w:t>
      </w:r>
      <w:r>
        <w:rPr>
          <w:rFonts w:hint="eastAsia"/>
          <w:color w:val="000000"/>
          <w:spacing w:val="6"/>
          <w:sz w:val="24"/>
          <w:highlight w:val="none"/>
        </w:rPr>
        <w:t xml:space="preserve">_</w:t>
      </w:r>
      <w:r>
        <w:rPr>
          <w:color w:val="000000"/>
          <w:spacing w:val="6"/>
          <w:sz w:val="24"/>
          <w:highlight w:val="none"/>
        </w:rPr>
        <w:t xml:space="preserve">________________（单位名称）的</w:t>
      </w:r>
      <w:r>
        <w:rPr>
          <w:rFonts w:hint="eastAsia"/>
          <w:color w:val="000000"/>
          <w:spacing w:val="6"/>
          <w:sz w:val="24"/>
          <w:highlight w:val="none"/>
        </w:rPr>
        <w:t xml:space="preserve">_</w:t>
      </w:r>
      <w:r>
        <w:rPr>
          <w:color w:val="000000"/>
          <w:spacing w:val="6"/>
          <w:sz w:val="24"/>
          <w:highlight w:val="none"/>
        </w:rPr>
        <w:t xml:space="preserve">_________________（项目名称）采购活动，服务全部由符合政策要求的中小企业承接。相关企业的具体情况如下：</w:t>
      </w:r>
      <w:r>
        <w:rPr>
          <w:color w:val="000000"/>
          <w:spacing w:val="6"/>
          <w:sz w:val="24"/>
          <w:highlight w:val="none"/>
        </w:rPr>
      </w:r>
      <w:r/>
    </w:p>
    <w:p>
      <w:pPr>
        <w:pStyle w:val="1005"/>
        <w:ind w:firstLine="504"/>
        <w:spacing w:line="360" w:lineRule="auto"/>
        <w:rPr>
          <w:color w:val="000000"/>
          <w:spacing w:val="6"/>
          <w:sz w:val="24"/>
          <w:highlight w:val="none"/>
        </w:rPr>
      </w:pPr>
      <w:r>
        <w:rPr>
          <w:rFonts w:hint="eastAsia"/>
          <w:color w:val="000000"/>
          <w:spacing w:val="6"/>
          <w:sz w:val="24"/>
          <w:highlight w:val="none"/>
          <w:u w:val="single"/>
          <w:lang w:eastAsia="zh-CN"/>
        </w:rPr>
        <w:t xml:space="preserve">2026年度净水站运维社会化服务</w:t>
      </w:r>
      <w:r>
        <w:rPr>
          <w:color w:val="000000"/>
          <w:spacing w:val="6"/>
          <w:sz w:val="24"/>
          <w:highlight w:val="none"/>
        </w:rPr>
        <w:t xml:space="preserve">，属于</w:t>
      </w:r>
      <w:r>
        <w:rPr>
          <w:rFonts w:hint="eastAsia"/>
          <w:color w:val="000000"/>
          <w:spacing w:val="6"/>
          <w:sz w:val="24"/>
          <w:highlight w:val="none"/>
          <w:u w:val="single"/>
        </w:rPr>
        <w:t xml:space="preserve">其他未列明行业</w:t>
      </w:r>
      <w:r>
        <w:rPr>
          <w:color w:val="000000"/>
          <w:spacing w:val="6"/>
          <w:sz w:val="24"/>
          <w:highlight w:val="none"/>
        </w:rPr>
        <w:t xml:space="preserve">行业；承接企业为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w:t>
      </w:r>
      <w:r>
        <w:rPr>
          <w:rFonts w:hint="eastAsia"/>
          <w:color w:val="000000"/>
          <w:spacing w:val="6"/>
          <w:sz w:val="24"/>
          <w:highlight w:val="none"/>
          <w:u w:val="single"/>
        </w:rPr>
        <w:t xml:space="preserve">          </w:t>
      </w:r>
      <w:r>
        <w:rPr>
          <w:color w:val="000000"/>
          <w:spacing w:val="6"/>
          <w:sz w:val="24"/>
          <w:highlight w:val="none"/>
        </w:rPr>
        <w:t xml:space="preserve">（中型企业、小型企业、微型企业）；</w:t>
      </w:r>
      <w:r>
        <w:rPr>
          <w:color w:val="000000"/>
          <w:spacing w:val="6"/>
          <w:sz w:val="24"/>
          <w:highlight w:val="none"/>
        </w:rPr>
      </w:r>
      <w:r/>
    </w:p>
    <w:p>
      <w:pPr>
        <w:pStyle w:val="1005"/>
        <w:ind w:firstLine="504"/>
        <w:spacing w:line="360" w:lineRule="auto"/>
        <w:rPr>
          <w:color w:val="000000"/>
          <w:spacing w:val="6"/>
          <w:sz w:val="24"/>
          <w:highlight w:val="none"/>
        </w:rPr>
      </w:pPr>
      <w:r>
        <w:rPr>
          <w:color w:val="000000"/>
          <w:spacing w:val="6"/>
          <w:sz w:val="24"/>
          <w:highlight w:val="none"/>
        </w:rPr>
      </w:r>
      <w:r/>
    </w:p>
    <w:p>
      <w:pPr>
        <w:pStyle w:val="1005"/>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05"/>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005"/>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005"/>
        <w:ind w:right="360" w:firstLine="480"/>
        <w:jc w:val="right"/>
        <w:spacing w:line="360" w:lineRule="auto"/>
        <w:rPr>
          <w:color w:val="000000"/>
          <w:sz w:val="24"/>
          <w:highlight w:val="none"/>
        </w:rPr>
      </w:pPr>
      <w:r>
        <w:rPr>
          <w:color w:val="000000"/>
          <w:sz w:val="24"/>
          <w:highlight w:val="none"/>
        </w:rPr>
      </w:r>
      <w:r/>
    </w:p>
    <w:p>
      <w:pPr>
        <w:pStyle w:val="1005"/>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005"/>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005"/>
        <w:ind w:right="360" w:firstLine="480"/>
        <w:jc w:val="right"/>
        <w:spacing w:line="360" w:lineRule="auto"/>
        <w:rPr>
          <w:color w:val="000000"/>
          <w:sz w:val="24"/>
          <w:highlight w:val="none"/>
        </w:rPr>
      </w:pPr>
      <w:r>
        <w:rPr>
          <w:color w:val="000000"/>
          <w:sz w:val="24"/>
          <w:highlight w:val="none"/>
        </w:rPr>
      </w:r>
      <w:r/>
    </w:p>
    <w:p>
      <w:pPr>
        <w:pStyle w:val="1005"/>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05"/>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05"/>
        <w:jc w:val="center"/>
        <w:spacing w:before="240" w:after="240" w:line="360" w:lineRule="auto"/>
        <w:rPr>
          <w:b/>
          <w:color w:val="000000"/>
          <w:sz w:val="36"/>
          <w:szCs w:val="36"/>
          <w:highlight w:val="none"/>
        </w:rPr>
      </w:pPr>
      <w:r>
        <w:rPr>
          <w:b/>
          <w:bCs/>
          <w:color w:val="000000"/>
          <w:sz w:val="36"/>
          <w:szCs w:val="36"/>
          <w:highlight w:val="none"/>
        </w:rPr>
        <w:br w:type="column"/>
      </w:r>
      <w:r>
        <w:rPr>
          <w:rFonts w:hint="eastAsia"/>
          <w:b/>
          <w:bCs/>
          <w:color w:val="000000"/>
          <w:sz w:val="36"/>
          <w:szCs w:val="36"/>
          <w:highlight w:val="none"/>
        </w:rPr>
        <w:t xml:space="preserve">残疾人福利性单位声明函格式</w:t>
      </w:r>
      <w:r>
        <w:rPr>
          <w:b/>
          <w:color w:val="000000"/>
          <w:sz w:val="36"/>
          <w:szCs w:val="36"/>
          <w:highlight w:val="none"/>
        </w:rPr>
      </w:r>
      <w:r/>
    </w:p>
    <w:p>
      <w:pPr>
        <w:pStyle w:val="1005"/>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005"/>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005"/>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1005"/>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005"/>
        <w:ind w:firstLine="504"/>
        <w:spacing w:line="588" w:lineRule="exact"/>
        <w:rPr>
          <w:color w:val="000000"/>
          <w:spacing w:val="6"/>
          <w:sz w:val="24"/>
          <w:highlight w:val="none"/>
        </w:rPr>
      </w:pPr>
      <w:r>
        <w:rPr>
          <w:color w:val="000000"/>
          <w:spacing w:val="6"/>
          <w:sz w:val="24"/>
          <w:highlight w:val="none"/>
        </w:rPr>
      </w:r>
      <w:r/>
    </w:p>
    <w:p>
      <w:pPr>
        <w:pStyle w:val="1005"/>
        <w:ind w:firstLine="504"/>
        <w:spacing w:line="588" w:lineRule="exact"/>
        <w:rPr>
          <w:color w:val="000000"/>
          <w:spacing w:val="6"/>
          <w:sz w:val="24"/>
          <w:highlight w:val="none"/>
        </w:rPr>
      </w:pPr>
      <w:r>
        <w:rPr>
          <w:color w:val="000000"/>
          <w:spacing w:val="6"/>
          <w:sz w:val="24"/>
          <w:highlight w:val="none"/>
        </w:rPr>
      </w:r>
      <w:r/>
    </w:p>
    <w:p>
      <w:pPr>
        <w:pStyle w:val="1005"/>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1005"/>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1005"/>
        <w:spacing w:line="360" w:lineRule="auto"/>
        <w:rPr>
          <w:color w:val="000000"/>
          <w:sz w:val="24"/>
          <w:szCs w:val="20"/>
          <w:highlight w:val="none"/>
        </w:rPr>
      </w:pPr>
      <w:r>
        <w:rPr>
          <w:color w:val="000000"/>
          <w:sz w:val="24"/>
          <w:szCs w:val="20"/>
          <w:highlight w:val="none"/>
        </w:rPr>
        <w:br w:type="column"/>
      </w:r>
      <w:r>
        <w:rPr>
          <w:color w:val="000000"/>
          <w:sz w:val="24"/>
          <w:szCs w:val="20"/>
          <w:highlight w:val="none"/>
        </w:rPr>
      </w:r>
      <w:r/>
    </w:p>
    <w:p>
      <w:pPr>
        <w:pStyle w:val="1005"/>
        <w:spacing w:line="360" w:lineRule="auto"/>
        <w:rPr>
          <w:color w:val="000000"/>
          <w:sz w:val="24"/>
          <w:szCs w:val="20"/>
          <w:highlight w:val="none"/>
        </w:rPr>
        <w:outlineLvl w:val="2"/>
      </w:pPr>
      <w:r>
        <w:rPr>
          <w:color w:val="000000"/>
          <w:sz w:val="24"/>
          <w:szCs w:val="20"/>
          <w:highlight w:val="none"/>
        </w:rPr>
        <w:t xml:space="preserve">3 </w:t>
      </w:r>
      <w:r>
        <w:rPr>
          <w:color w:val="000000"/>
          <w:sz w:val="24"/>
          <w:highlight w:val="none"/>
        </w:rPr>
        <w:t xml:space="preserve">本项目的特定资格要求</w:t>
      </w:r>
      <w:r>
        <w:rPr>
          <w:color w:val="000000"/>
          <w:sz w:val="24"/>
          <w:szCs w:val="20"/>
          <w:highlight w:val="none"/>
        </w:rPr>
        <w:t xml:space="preserve">（如有）</w:t>
      </w:r>
      <w:r>
        <w:rPr>
          <w:color w:val="000000"/>
          <w:sz w:val="24"/>
          <w:szCs w:val="20"/>
          <w:highlight w:val="none"/>
        </w:rPr>
      </w:r>
      <w:r/>
    </w:p>
    <w:p>
      <w:pPr>
        <w:pStyle w:val="1005"/>
        <w:jc w:val="left"/>
        <w:keepLines w:val="0"/>
        <w:keepNext w:val="0"/>
        <w:pageBreakBefore w:val="0"/>
        <w:widowControl w:val="off"/>
        <w:rPr>
          <w:rFonts w:hint="eastAsia"/>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9"/>
      </w:pPr>
      <w:r>
        <w:rPr>
          <w:rFonts w:hint="eastAsia"/>
          <w:color w:val="000000"/>
          <w:sz w:val="24"/>
          <w:highlight w:val="none"/>
        </w:rPr>
        <w:t xml:space="preserve">无。</w:t>
      </w:r>
      <w:r>
        <w:rPr>
          <w:rFonts w:hint="eastAsia"/>
          <w:color w:val="000000"/>
          <w:sz w:val="24"/>
          <w:highlight w:val="none"/>
        </w:rPr>
      </w:r>
      <w:r/>
    </w:p>
    <w:p>
      <w:pPr>
        <w:pStyle w:val="1005"/>
        <w:jc w:val="left"/>
        <w:keepLines w:val="0"/>
        <w:keepNext w:val="0"/>
        <w:pageBreakBefore w:val="0"/>
        <w:widowControl w:val="off"/>
        <w:rPr>
          <w:rFonts w:hint="eastAsia" w:ascii="宋体" w:hAnsi="宋体"/>
          <w:b/>
          <w:color w:val="000000"/>
          <w:sz w:val="32"/>
          <w:szCs w:val="32"/>
          <w:highlight w:val="none"/>
        </w:rPr>
        <w:outlineLvl w:val="1"/>
      </w:pPr>
      <w:r>
        <w:rPr>
          <w:rFonts w:ascii="宋体" w:hAnsi="宋体"/>
          <w:b/>
          <w:color w:val="000000"/>
          <w:sz w:val="32"/>
          <w:szCs w:val="32"/>
          <w:highlight w:val="none"/>
        </w:rPr>
        <w:t xml:space="preserve">二、商务技术文件格式</w:t>
      </w:r>
      <w:bookmarkStart w:id="822" w:name="_Toc226309800"/>
      <w:r/>
      <w:bookmarkStart w:id="823" w:name="_Toc150774761"/>
      <w:r/>
      <w:bookmarkStart w:id="824" w:name="_Toc127151556"/>
      <w:r/>
      <w:bookmarkStart w:id="825" w:name="_Toc226965746"/>
      <w:r/>
      <w:bookmarkStart w:id="826" w:name="_Toc226965829"/>
      <w:r/>
      <w:bookmarkStart w:id="827" w:name="_Toc480942349"/>
      <w:r/>
      <w:bookmarkStart w:id="828" w:name="_Toc150480794"/>
      <w:r/>
      <w:bookmarkStart w:id="829" w:name="_Toc226337252"/>
      <w:r/>
      <w:bookmarkStart w:id="830" w:name="_Toc195842921"/>
      <w:r/>
      <w:bookmarkStart w:id="831" w:name="_Toc520356217"/>
      <w:r/>
      <w:bookmarkStart w:id="832" w:name="_Ref467988698"/>
      <w:r/>
      <w:bookmarkStart w:id="833" w:name="_Toc142311058"/>
      <w:r>
        <w:rPr>
          <w:rFonts w:hint="eastAsia" w:ascii="宋体" w:hAnsi="宋体"/>
          <w:b/>
          <w:color w:val="000000"/>
          <w:sz w:val="32"/>
          <w:szCs w:val="32"/>
          <w:highlight w:val="none"/>
        </w:rPr>
      </w:r>
      <w:r/>
    </w:p>
    <w:p>
      <w:pPr>
        <w:pStyle w:val="1005"/>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05"/>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color w:val="000000"/>
          <w:sz w:val="24"/>
          <w:highlight w:val="none"/>
        </w:rPr>
        <w:t xml:space="preserve">函</w:t>
      </w:r>
      <w:r>
        <w:rPr>
          <w:b/>
          <w:color w:val="000000"/>
          <w:sz w:val="24"/>
          <w:szCs w:val="20"/>
          <w:highlight w:val="none"/>
        </w:rPr>
        <w:t xml:space="preserve">（实质性格式）</w:t>
      </w:r>
      <w:r>
        <w:rPr>
          <w:color w:val="000000"/>
          <w:sz w:val="24"/>
          <w:szCs w:val="20"/>
          <w:highlight w:val="none"/>
        </w:rPr>
      </w:r>
      <w:r/>
    </w:p>
    <w:p>
      <w:pPr>
        <w:pStyle w:val="1005"/>
        <w:spacing w:line="360" w:lineRule="auto"/>
        <w:tabs>
          <w:tab w:val="left" w:pos="5580" w:leader="none"/>
        </w:tabs>
        <w:rPr>
          <w:color w:val="000000"/>
          <w:sz w:val="24"/>
          <w:highlight w:val="none"/>
        </w:rPr>
      </w:pPr>
      <w:r>
        <w:rPr>
          <w:color w:val="000000"/>
          <w:sz w:val="24"/>
          <w:highlight w:val="none"/>
        </w:rPr>
      </w:r>
      <w:r/>
    </w:p>
    <w:p>
      <w:pPr>
        <w:pStyle w:val="1005"/>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005"/>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（招标人或招标代理机构）</w:t>
      </w:r>
      <w:r>
        <w:rPr>
          <w:color w:val="000000"/>
          <w:sz w:val="24"/>
          <w:highlight w:val="none"/>
        </w:rPr>
      </w:r>
      <w:r/>
    </w:p>
    <w:p>
      <w:pPr>
        <w:pStyle w:val="1005"/>
        <w:spacing w:line="360" w:lineRule="auto"/>
        <w:tabs>
          <w:tab w:val="left" w:pos="5580" w:leader="none"/>
        </w:tabs>
        <w:rPr>
          <w:color w:val="000000"/>
          <w:sz w:val="24"/>
          <w:szCs w:val="20"/>
          <w:highlight w:val="none"/>
        </w:rPr>
      </w:pPr>
      <w:r>
        <w:rPr>
          <w:color w:val="000000"/>
          <w:sz w:val="24"/>
          <w:szCs w:val="20"/>
          <w:highlight w:val="none"/>
        </w:rPr>
      </w:r>
      <w:r/>
    </w:p>
    <w:p>
      <w:pPr>
        <w:pStyle w:val="1005"/>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我方参加你方就___________（项目名称，项目编号）组织的招标活动，并对此项目进行投标。</w:t>
      </w:r>
      <w:r>
        <w:rPr>
          <w:color w:val="000000"/>
          <w:sz w:val="24"/>
          <w:szCs w:val="20"/>
          <w:highlight w:val="none"/>
        </w:rPr>
      </w:r>
      <w:r/>
    </w:p>
    <w:p>
      <w:pPr>
        <w:pStyle w:val="1005"/>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1005"/>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color w:val="000000"/>
          <w:sz w:val="24"/>
          <w:highlight w:val="none"/>
        </w:rPr>
        <w:t xml:space="preserve">120</w:t>
      </w:r>
      <w:r>
        <w:rPr>
          <w:color w:val="000000"/>
          <w:sz w:val="24"/>
          <w:szCs w:val="20"/>
          <w:highlight w:val="none"/>
        </w:rPr>
        <w:t xml:space="preserve">个日历日。</w:t>
      </w:r>
      <w:r>
        <w:rPr>
          <w:color w:val="000000"/>
          <w:sz w:val="24"/>
          <w:szCs w:val="20"/>
          <w:highlight w:val="none"/>
        </w:rPr>
      </w:r>
      <w:r/>
    </w:p>
    <w:p>
      <w:pPr>
        <w:pStyle w:val="1005"/>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1005"/>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005"/>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1005"/>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005"/>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1005"/>
        <w:ind w:left="420"/>
        <w:spacing w:line="360" w:lineRule="auto"/>
        <w:tabs>
          <w:tab w:val="left" w:pos="5580" w:leader="none"/>
        </w:tabs>
        <w:rPr>
          <w:color w:val="000000"/>
          <w:sz w:val="24"/>
          <w:szCs w:val="20"/>
          <w:highlight w:val="none"/>
        </w:rPr>
      </w:pPr>
      <w:r>
        <w:rPr>
          <w:color w:val="000000"/>
          <w:sz w:val="24"/>
          <w:szCs w:val="20"/>
          <w:highlight w:val="none"/>
        </w:rPr>
      </w:r>
      <w:r/>
    </w:p>
    <w:p>
      <w:pPr>
        <w:pStyle w:val="1005"/>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005"/>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005"/>
        <w:ind w:left="420"/>
        <w:spacing w:line="360" w:lineRule="auto"/>
        <w:tabs>
          <w:tab w:val="left" w:pos="5580" w:leader="none"/>
        </w:tabs>
        <w:rPr>
          <w:color w:val="000000"/>
          <w:sz w:val="24"/>
          <w:szCs w:val="20"/>
          <w:highlight w:val="none"/>
        </w:rPr>
      </w:pPr>
      <w:r>
        <w:rPr>
          <w:color w:val="000000"/>
          <w:sz w:val="24"/>
          <w:szCs w:val="20"/>
          <w:highlight w:val="none"/>
        </w:rPr>
      </w:r>
      <w:r/>
    </w:p>
    <w:p>
      <w:pPr>
        <w:pStyle w:val="1005"/>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1005"/>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w:t>
      </w:r>
      <w:r>
        <w:rPr>
          <w:color w:val="000000"/>
          <w:sz w:val="24"/>
          <w:szCs w:val="20"/>
          <w:highlight w:val="none"/>
        </w:rPr>
      </w:r>
      <w:r/>
    </w:p>
    <w:p>
      <w:pPr>
        <w:pStyle w:val="1005"/>
        <w:spacing w:line="360" w:lineRule="auto"/>
        <w:rPr>
          <w:color w:val="000000"/>
          <w:sz w:val="24"/>
          <w:highlight w:val="none"/>
        </w:rPr>
      </w:pPr>
      <w:r/>
      <w:bookmarkStart w:id="834" w:name="_Hlt520355938"/>
      <w:r/>
      <w:bookmarkEnd w:id="834"/>
      <w:r/>
      <w:bookmarkStart w:id="835" w:name="_Hlt520356243"/>
      <w:r/>
      <w:bookmarkEnd w:id="835"/>
      <w:r>
        <w:rPr>
          <w:color w:val="000000"/>
          <w:sz w:val="24"/>
          <w:highlight w:val="none"/>
        </w:rPr>
        <w:br w:type="page" w:clear="all"/>
      </w:r>
      <w:r>
        <w:rPr>
          <w:color w:val="000000"/>
          <w:sz w:val="24"/>
          <w:highlight w:val="none"/>
        </w:rPr>
      </w:r>
      <w:r/>
    </w:p>
    <w:p>
      <w:pPr>
        <w:pStyle w:val="1005"/>
        <w:spacing w:line="360" w:lineRule="auto"/>
        <w:rPr>
          <w:rFonts w:hint="eastAsia"/>
          <w:color w:val="000000"/>
          <w:sz w:val="24"/>
          <w:highlight w:val="none"/>
        </w:rPr>
        <w:outlineLvl w:val="2"/>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b/>
          <w:color w:val="000000"/>
          <w:sz w:val="24"/>
          <w:szCs w:val="20"/>
          <w:highlight w:val="none"/>
        </w:rPr>
        <w:t xml:space="preserve">（实质性格式）</w:t>
      </w:r>
      <w:r>
        <w:rPr>
          <w:rFonts w:hint="eastAsia"/>
          <w:color w:val="000000"/>
          <w:sz w:val="24"/>
          <w:highlight w:val="none"/>
        </w:rPr>
      </w:r>
      <w:r/>
    </w:p>
    <w:p>
      <w:pPr>
        <w:pStyle w:val="100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0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05"/>
        <w:spacing w:line="560" w:lineRule="exact"/>
        <w:rPr>
          <w:rFonts w:hint="eastAsia" w:ascii="宋体" w:hAnsi="宋体"/>
          <w:color w:val="000000"/>
          <w:sz w:val="24"/>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rPr>
      </w:r>
      <w:r/>
    </w:p>
    <w:p>
      <w:pPr>
        <w:pStyle w:val="1005"/>
        <w:spacing w:line="560" w:lineRule="exact"/>
        <w:rPr>
          <w:rFonts w:hint="eastAsia" w:ascii="宋体" w:hAnsi="宋体"/>
          <w:color w:val="000000"/>
          <w:sz w:val="24"/>
          <w:highlight w:val="none"/>
        </w:rPr>
      </w:pPr>
      <w:r>
        <w:rPr>
          <w:rFonts w:hint="eastAsia" w:ascii="宋体" w:hAnsi="宋体"/>
          <w:color w:val="000000"/>
          <w:sz w:val="24"/>
          <w:highlight w:val="none"/>
        </w:rPr>
        <w:t xml:space="preserve">地址：</w:t>
      </w:r>
      <w:r>
        <w:rPr>
          <w:rFonts w:hint="eastAsia" w:ascii="宋体" w:hAnsi="宋体"/>
          <w:color w:val="000000"/>
          <w:sz w:val="24"/>
          <w:highlight w:val="none"/>
        </w:rPr>
      </w:r>
      <w:r/>
    </w:p>
    <w:p>
      <w:pPr>
        <w:pStyle w:val="1005"/>
        <w:spacing w:line="560" w:lineRule="exact"/>
        <w:rPr>
          <w:rFonts w:hint="eastAsia" w:ascii="宋体" w:hAnsi="宋体"/>
          <w:color w:val="000000"/>
          <w:sz w:val="24"/>
          <w:highlight w:val="none"/>
        </w:rPr>
      </w:pPr>
      <w:r>
        <w:rPr>
          <w:rFonts w:hint="eastAsia" w:ascii="宋体" w:hAnsi="宋体"/>
          <w:color w:val="000000"/>
          <w:sz w:val="24"/>
          <w:highlight w:val="none"/>
        </w:rPr>
        <w:t xml:space="preserve">姓名：     性别：       年龄：      职务：</w:t>
      </w:r>
      <w:r>
        <w:rPr>
          <w:rFonts w:hint="eastAsia" w:ascii="宋体" w:hAnsi="宋体"/>
          <w:color w:val="000000"/>
          <w:sz w:val="24"/>
          <w:highlight w:val="none"/>
        </w:rPr>
      </w:r>
      <w:r/>
    </w:p>
    <w:p>
      <w:pPr>
        <w:pStyle w:val="1005"/>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05"/>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05"/>
        <w:spacing w:line="560" w:lineRule="exact"/>
        <w:rPr>
          <w:rFonts w:ascii="宋体" w:hAnsi="宋体"/>
          <w:color w:val="000000"/>
          <w:sz w:val="24"/>
          <w:highlight w:val="none"/>
        </w:rPr>
      </w:pPr>
      <w:r>
        <w:rPr>
          <w:rFonts w:ascii="宋体" w:hAnsi="宋体"/>
          <w:color w:val="000000"/>
          <w:sz w:val="24"/>
          <w:highlight w:val="none"/>
        </w:rPr>
      </w:r>
      <w:r/>
    </w:p>
    <w:p>
      <w:pPr>
        <w:pStyle w:val="1037"/>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05"/>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05"/>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05"/>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05"/>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05"/>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05"/>
        <w:jc w:val="left"/>
        <w:widowControl/>
        <w:rPr>
          <w:rFonts w:hint="eastAsia"/>
          <w:color w:val="000000"/>
          <w:sz w:val="24"/>
          <w:highlight w:val="none"/>
        </w:rPr>
      </w:pPr>
      <w:r>
        <w:rPr>
          <w:rFonts w:hint="eastAsia"/>
          <w:color w:val="000000"/>
          <w:sz w:val="24"/>
          <w:highlight w:val="none"/>
        </w:rPr>
      </w:r>
      <w:r/>
    </w:p>
    <w:p>
      <w:pPr>
        <w:pStyle w:val="1005"/>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w:t>
      </w:r>
      <w:r>
        <w:rPr>
          <w:rFonts w:hint="eastAsia" w:ascii="宋体" w:hAnsi="宋体"/>
          <w:color w:val="000000"/>
          <w:sz w:val="24"/>
          <w:szCs w:val="20"/>
          <w:highlight w:val="none"/>
        </w:rPr>
        <w:t xml:space="preserve">供应商</w:t>
      </w:r>
      <w:r>
        <w:rPr>
          <w:rFonts w:ascii="宋体" w:hAnsi="宋体"/>
          <w:color w:val="000000"/>
          <w:sz w:val="24"/>
          <w:szCs w:val="20"/>
          <w:highlight w:val="none"/>
        </w:rPr>
        <w:t xml:space="preserve">为事业单位或其他组织或分支机构（仅当</w:t>
      </w:r>
      <w:r>
        <w:rPr>
          <w:rFonts w:hint="eastAsia" w:ascii="宋体" w:hAnsi="宋体"/>
          <w:color w:val="000000"/>
          <w:sz w:val="24"/>
          <w:szCs w:val="20"/>
          <w:highlight w:val="none"/>
        </w:rPr>
        <w:t xml:space="preserve">招标文件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05"/>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05"/>
        <w:spacing w:line="360" w:lineRule="auto"/>
        <w:rPr>
          <w:color w:val="000000"/>
          <w:sz w:val="24"/>
          <w:highlight w:val="none"/>
        </w:rPr>
      </w:pPr>
      <w:r>
        <w:rPr>
          <w:color w:val="000000"/>
          <w:sz w:val="24"/>
          <w:highlight w:val="none"/>
        </w:rPr>
        <w:br w:type="page" w:clear="all"/>
      </w:r>
      <w:r>
        <w:rPr>
          <w:color w:val="000000"/>
          <w:sz w:val="24"/>
          <w:highlight w:val="none"/>
        </w:rPr>
      </w:r>
      <w:r/>
    </w:p>
    <w:p>
      <w:pPr>
        <w:pStyle w:val="1005"/>
        <w:spacing w:line="360" w:lineRule="auto"/>
        <w:rPr>
          <w:rFonts w:hint="eastAsia"/>
          <w:color w:val="000000"/>
          <w:sz w:val="24"/>
          <w:highlight w:val="none"/>
        </w:rPr>
        <w:outlineLvl w:val="2"/>
      </w:pPr>
      <w:r>
        <w:rPr>
          <w:rFonts w:hint="eastAsia"/>
          <w:color w:val="000000"/>
          <w:sz w:val="24"/>
          <w:highlight w:val="none"/>
        </w:rPr>
        <w:t xml:space="preserve">3  政府采购供应商信用承诺书</w:t>
      </w:r>
      <w:r>
        <w:rPr>
          <w:b/>
          <w:color w:val="000000"/>
          <w:sz w:val="24"/>
          <w:szCs w:val="20"/>
          <w:highlight w:val="none"/>
        </w:rPr>
        <w:t xml:space="preserve">（实质性格式）</w:t>
      </w:r>
      <w:r>
        <w:rPr>
          <w:rFonts w:hint="eastAsia"/>
          <w:color w:val="000000"/>
          <w:sz w:val="24"/>
          <w:highlight w:val="none"/>
        </w:rPr>
      </w:r>
      <w:r/>
    </w:p>
    <w:p>
      <w:pPr>
        <w:pStyle w:val="1005"/>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005"/>
        <w:ind w:firstLine="640"/>
        <w:rPr>
          <w:color w:val="000000"/>
          <w:highlight w:val="none"/>
        </w:rPr>
      </w:pPr>
      <w:r>
        <w:rPr>
          <w:color w:val="000000"/>
          <w:highlight w:val="none"/>
        </w:rPr>
      </w:r>
      <w:r/>
    </w:p>
    <w:p>
      <w:pPr>
        <w:pStyle w:val="10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信用常州</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、常州市政府采购网。</w:t>
      </w:r>
      <w:r>
        <w:rPr>
          <w:rFonts w:ascii="宋体" w:hAnsi="宋体"/>
          <w:color w:val="000000"/>
          <w:sz w:val="24"/>
          <w:highlight w:val="none"/>
        </w:rPr>
      </w:r>
      <w:r/>
    </w:p>
    <w:p>
      <w:pPr>
        <w:pStyle w:val="10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w:t>
      </w:r>
      <w:r>
        <w:rPr>
          <w:rFonts w:ascii="宋体" w:hAnsi="宋体"/>
          <w:color w:val="000000"/>
          <w:sz w:val="24"/>
          <w:highlight w:val="none"/>
        </w:rPr>
      </w:r>
      <w:r/>
    </w:p>
    <w:p>
      <w:pPr>
        <w:pStyle w:val="10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w:t>
      </w:r>
      <w:r>
        <w:rPr>
          <w:rFonts w:ascii="宋体" w:hAnsi="宋体"/>
          <w:color w:val="000000"/>
          <w:sz w:val="24"/>
          <w:highlight w:val="none"/>
        </w:rPr>
      </w:r>
      <w:r/>
    </w:p>
    <w:p>
      <w:pPr>
        <w:pStyle w:val="10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w:t>
      </w:r>
      <w:r>
        <w:rPr>
          <w:rFonts w:ascii="宋体" w:hAnsi="宋体"/>
          <w:color w:val="000000"/>
          <w:sz w:val="24"/>
          <w:highlight w:val="none"/>
        </w:rPr>
      </w:r>
      <w:r/>
    </w:p>
    <w:p>
      <w:pPr>
        <w:pStyle w:val="10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w:t>
      </w:r>
      <w:r>
        <w:rPr>
          <w:rFonts w:ascii="宋体" w:hAnsi="宋体"/>
          <w:color w:val="000000"/>
          <w:sz w:val="24"/>
          <w:highlight w:val="none"/>
        </w:rPr>
      </w:r>
      <w:r/>
    </w:p>
    <w:p>
      <w:pPr>
        <w:pStyle w:val="10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00"/>
        <w:ind w:right="1050" w:firstLine="199"/>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0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w:t>
      </w:r>
      <w:r>
        <w:rPr>
          <w:rFonts w:hint="eastAsia"/>
          <w:color w:val="000000"/>
          <w:sz w:val="24"/>
          <w:highlight w:val="none"/>
        </w:rPr>
        <w:t xml:space="preserve">________</w:t>
      </w:r>
      <w:r>
        <w:rPr>
          <w:color w:val="000000"/>
          <w:sz w:val="24"/>
          <w:highlight w:val="none"/>
          <w:lang w:val="zh-CN"/>
        </w:rPr>
        <w:t xml:space="preserve">____</w:t>
      </w:r>
      <w:r>
        <w:rPr>
          <w:color w:val="000000"/>
          <w:sz w:val="24"/>
          <w:highlight w:val="none"/>
          <w:lang w:val="zh-CN"/>
        </w:rPr>
      </w:r>
      <w:r/>
    </w:p>
    <w:p>
      <w:pPr>
        <w:pStyle w:val="1005"/>
        <w:spacing w:before="25" w:after="25" w:line="360" w:lineRule="auto"/>
        <w:rPr>
          <w:color w:val="000000"/>
          <w:sz w:val="24"/>
          <w:highlight w:val="none"/>
          <w:lang w:val="zh-CN"/>
        </w:rPr>
      </w:pPr>
      <w:r>
        <w:rPr>
          <w:color w:val="000000"/>
          <w:sz w:val="24"/>
          <w:szCs w:val="20"/>
          <w:highlight w:val="none"/>
        </w:rPr>
        <w:t xml:space="preserve">日期：_____年_____月_____日</w:t>
      </w:r>
      <w:r>
        <w:rPr>
          <w:color w:val="000000"/>
          <w:sz w:val="24"/>
          <w:highlight w:val="none"/>
          <w:lang w:val="zh-CN"/>
        </w:rPr>
      </w:r>
      <w:r/>
    </w:p>
    <w:p>
      <w:pPr>
        <w:pStyle w:val="1005"/>
        <w:jc w:val="left"/>
        <w:widowControl/>
        <w:rPr>
          <w:color w:val="000000"/>
          <w:sz w:val="24"/>
          <w:szCs w:val="20"/>
          <w:highlight w:val="none"/>
        </w:rPr>
      </w:pPr>
      <w:r/>
      <w:bookmarkStart w:id="836" w:name="_Hlt520273711"/>
      <w:r/>
      <w:bookmarkEnd w:id="836"/>
      <w:r/>
      <w:bookmarkStart w:id="837" w:name="_Hlt520350918"/>
      <w:r/>
      <w:bookmarkEnd w:id="837"/>
      <w:r/>
      <w:bookmarkStart w:id="838" w:name="_Hlt520274393"/>
      <w:r/>
      <w:bookmarkEnd w:id="838"/>
      <w:r/>
      <w:bookmarkStart w:id="839" w:name="_Hlt520343392"/>
      <w:r/>
      <w:bookmarkEnd w:id="839"/>
      <w:r/>
      <w:bookmarkStart w:id="840" w:name="_Hlt520355504"/>
      <w:r/>
      <w:bookmarkEnd w:id="840"/>
      <w:r/>
      <w:bookmarkStart w:id="841" w:name="_Hlt520274065"/>
      <w:r/>
      <w:bookmarkEnd w:id="841"/>
      <w:r/>
      <w:bookmarkStart w:id="842" w:name="_Hlt520274121"/>
      <w:r/>
      <w:bookmarkEnd w:id="842"/>
      <w:r/>
      <w:bookmarkStart w:id="843" w:name="_Hlt520271212"/>
      <w:r/>
      <w:bookmarkEnd w:id="843"/>
      <w:r/>
      <w:bookmarkStart w:id="844" w:name="_Hlt520343000"/>
      <w:r/>
      <w:bookmarkEnd w:id="844"/>
      <w:r/>
      <w:bookmarkStart w:id="845" w:name="_Hlt520274407"/>
      <w:r/>
      <w:bookmarkEnd w:id="845"/>
      <w:r/>
      <w:bookmarkStart w:id="846" w:name="_Toc226309801"/>
      <w:r/>
      <w:bookmarkStart w:id="847" w:name="_Toc305158825"/>
      <w:r/>
      <w:bookmarkStart w:id="848" w:name="_Toc305158899"/>
      <w:r/>
      <w:bookmarkStart w:id="849" w:name="_Toc520356218"/>
      <w:r/>
      <w:bookmarkStart w:id="850" w:name="_Toc142311059"/>
      <w:r/>
      <w:bookmarkStart w:id="851" w:name="_Toc265228395"/>
      <w:r/>
      <w:bookmarkStart w:id="852" w:name="_Ref467988705"/>
      <w:r/>
      <w:bookmarkStart w:id="853" w:name="_Toc195842922"/>
      <w:r/>
      <w:bookmarkStart w:id="854" w:name="_Toc150480795"/>
      <w:r/>
      <w:bookmarkStart w:id="855" w:name="_Toc264969247"/>
      <w:r/>
      <w:bookmarkStart w:id="856" w:name="_Toc150774762"/>
      <w:r/>
      <w:bookmarkStart w:id="857" w:name="_Toc127151557"/>
      <w:r/>
      <w:bookmarkStart w:id="858" w:name="_Toc480942350"/>
      <w:r/>
      <w:bookmarkStart w:id="859" w:name="_Toc226965747"/>
      <w:r/>
      <w:bookmarkStart w:id="860" w:name="_Toc226965830"/>
      <w:r/>
      <w:bookmarkStart w:id="861" w:name="_Toc226337253"/>
      <w:r>
        <w:rPr>
          <w:color w:val="000000"/>
          <w:sz w:val="24"/>
          <w:szCs w:val="20"/>
          <w:highlight w:val="none"/>
        </w:rPr>
        <w:br w:type="page" w:clear="all"/>
      </w:r>
      <w:r>
        <w:rPr>
          <w:color w:val="000000"/>
          <w:sz w:val="24"/>
          <w:szCs w:val="20"/>
          <w:highlight w:val="none"/>
        </w:rPr>
      </w:r>
      <w:r/>
    </w:p>
    <w:p>
      <w:pPr>
        <w:pStyle w:val="1005"/>
        <w:spacing w:line="360" w:lineRule="auto"/>
        <w:rPr>
          <w:b/>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b/>
          <w:color w:val="000000"/>
          <w:sz w:val="24"/>
          <w:szCs w:val="20"/>
          <w:highlight w:val="none"/>
        </w:rPr>
        <w:t xml:space="preserve">（实质性格式）</w:t>
      </w:r>
      <w:r>
        <w:rPr>
          <w:b/>
          <w:color w:val="000000"/>
          <w:sz w:val="24"/>
          <w:szCs w:val="20"/>
          <w:highlight w:val="none"/>
        </w:rPr>
      </w:r>
      <w:r/>
    </w:p>
    <w:p>
      <w:pPr>
        <w:pStyle w:val="1005"/>
        <w:jc w:val="center"/>
        <w:spacing w:line="360" w:lineRule="exact"/>
        <w:rPr>
          <w:rFonts w:hint="eastAsia"/>
          <w:b/>
          <w:color w:val="000000"/>
          <w:sz w:val="36"/>
          <w:szCs w:val="36"/>
          <w:highlight w:val="none"/>
        </w:rPr>
      </w:pPr>
      <w:r/>
      <w:bookmarkStart w:id="862" w:name="_Toc226309802"/>
      <w:r/>
      <w:bookmarkStart w:id="863" w:name="_Toc226337254"/>
      <w:r/>
      <w:bookmarkStart w:id="864" w:name="_Toc264969248"/>
      <w:r/>
      <w:bookmarkStart w:id="865" w:name="_Toc305158900"/>
      <w:r/>
      <w:bookmarkStart w:id="866" w:name="_Toc164608672"/>
      <w:r/>
      <w:bookmarkStart w:id="867" w:name="_Toc226965831"/>
      <w:r/>
      <w:bookmarkStart w:id="868" w:name="_Toc195842923"/>
      <w:r/>
      <w:bookmarkStart w:id="869" w:name="_Toc226965748"/>
      <w:r/>
      <w:bookmarkStart w:id="870" w:name="_Toc164608827"/>
      <w:r/>
      <w:bookmarkStart w:id="871" w:name="_Toc265228396"/>
      <w:r/>
      <w:bookmarkStart w:id="872" w:name="_Toc305158826"/>
      <w:r>
        <w:rPr>
          <w:rFonts w:hint="eastAsia"/>
          <w:b/>
          <w:color w:val="000000"/>
          <w:sz w:val="36"/>
          <w:szCs w:val="36"/>
          <w:highlight w:val="none"/>
        </w:rPr>
        <w:t xml:space="preserve">开标一览表</w:t>
      </w:r>
      <w:bookmarkEnd w:id="862"/>
      <w:r/>
      <w:bookmarkEnd w:id="863"/>
      <w:r/>
      <w:bookmarkEnd w:id="864"/>
      <w:r/>
      <w:bookmarkEnd w:id="865"/>
      <w:r/>
      <w:bookmarkEnd w:id="866"/>
      <w:r/>
      <w:bookmarkEnd w:id="867"/>
      <w:r/>
      <w:bookmarkEnd w:id="868"/>
      <w:r/>
      <w:bookmarkEnd w:id="869"/>
      <w:r/>
      <w:bookmarkEnd w:id="870"/>
      <w:r/>
      <w:bookmarkEnd w:id="871"/>
      <w:r/>
      <w:bookmarkEnd w:id="872"/>
      <w:r>
        <w:rPr>
          <w:rFonts w:hint="eastAsia"/>
          <w:b/>
          <w:color w:val="000000"/>
          <w:sz w:val="36"/>
          <w:szCs w:val="36"/>
          <w:highlight w:val="none"/>
        </w:rPr>
      </w:r>
      <w:r/>
    </w:p>
    <w:p>
      <w:pPr>
        <w:pStyle w:val="1005"/>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1005"/>
        <w:ind w:firstLine="240"/>
        <w:jc w:val="left"/>
        <w:spacing w:line="360" w:lineRule="auto"/>
        <w:tabs>
          <w:tab w:val="left" w:pos="1800" w:leader="none"/>
          <w:tab w:val="left" w:pos="5580" w:leader="none"/>
        </w:tabs>
        <w:rPr>
          <w:rFonts w:hint="eastAsia" w:ascii="宋体" w:hAnsi="宋体" w:eastAsia="宋体"/>
          <w:color w:val="000000"/>
          <w:sz w:val="24"/>
          <w:highlight w:val="none"/>
          <w:lang w:eastAsia="zh-CN"/>
        </w:rPr>
      </w:pPr>
      <w:r>
        <w:rPr>
          <w:color w:val="000000"/>
          <w:sz w:val="24"/>
          <w:highlight w:val="none"/>
        </w:rPr>
        <w:t xml:space="preserve">项目编号：</w:t>
      </w:r>
      <w:r>
        <w:rPr>
          <w:rFonts w:hint="eastAsia" w:ascii="宋体" w:hAnsi="宋体"/>
          <w:color w:val="000000"/>
          <w:sz w:val="24"/>
          <w:highlight w:val="none"/>
          <w:lang w:eastAsia="zh-CN"/>
        </w:rPr>
        <w:t xml:space="preserve">JSZC-320400-JSZG-G2025-0131</w:t>
      </w:r>
      <w:r>
        <w:rPr>
          <w:rFonts w:hint="eastAsia" w:ascii="宋体" w:hAnsi="宋体" w:eastAsia="宋体"/>
          <w:color w:val="000000"/>
          <w:sz w:val="24"/>
          <w:highlight w:val="none"/>
          <w:lang w:eastAsia="zh-CN"/>
        </w:rPr>
      </w:r>
      <w:r/>
    </w:p>
    <w:p>
      <w:pPr>
        <w:pStyle w:val="1005"/>
        <w:ind w:firstLine="240"/>
        <w:jc w:val="left"/>
        <w:spacing w:line="360" w:lineRule="auto"/>
        <w:tabs>
          <w:tab w:val="left" w:pos="1800" w:leader="none"/>
          <w:tab w:val="left" w:pos="5580" w:leader="none"/>
        </w:tabs>
        <w:rPr>
          <w:rFonts w:hint="eastAsia" w:eastAsia="宋体"/>
          <w:color w:val="000000"/>
          <w:sz w:val="24"/>
          <w:highlight w:val="none"/>
          <w:u w:val="single"/>
          <w:lang w:eastAsia="zh-CN"/>
        </w:rPr>
      </w:pPr>
      <w:r>
        <w:rPr>
          <w:color w:val="000000"/>
          <w:sz w:val="24"/>
          <w:highlight w:val="none"/>
        </w:rPr>
        <w:t xml:space="preserve">项目名称：</w:t>
      </w:r>
      <w:r>
        <w:rPr>
          <w:rFonts w:hint="eastAsia"/>
          <w:color w:val="000000"/>
          <w:sz w:val="24"/>
          <w:highlight w:val="none"/>
          <w:lang w:eastAsia="zh-CN"/>
        </w:rPr>
        <w:t xml:space="preserve">2026年度净水站运维社会化服务</w:t>
      </w:r>
      <w:r>
        <w:rPr>
          <w:rFonts w:hint="eastAsia" w:eastAsia="宋体"/>
          <w:color w:val="000000"/>
          <w:sz w:val="24"/>
          <w:highlight w:val="none"/>
          <w:u w:val="single"/>
          <w:lang w:eastAsia="zh-CN"/>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3973"/>
      </w:tblGrid>
      <w:tr>
        <w:trPr>
          <w:trHeight w:val="851"/>
        </w:trPr>
        <w:tc>
          <w:tcPr>
            <w:tcW w:w="690" w:type="dxa"/>
            <w:vAlign w:val="center"/>
            <w:textDirection w:val="lrTb"/>
            <w:noWrap w:val="false"/>
          </w:tcPr>
          <w:p>
            <w:pPr>
              <w:pStyle w:val="1005"/>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3709" w:type="dxa"/>
            <w:vAlign w:val="center"/>
            <w:textDirection w:val="lrTb"/>
            <w:noWrap w:val="false"/>
          </w:tcPr>
          <w:p>
            <w:pPr>
              <w:pStyle w:val="1005"/>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tcW w:w="3973" w:type="dxa"/>
            <w:vAlign w:val="center"/>
            <w:textDirection w:val="lrTb"/>
            <w:noWrap w:val="false"/>
          </w:tcPr>
          <w:p>
            <w:pPr>
              <w:pStyle w:val="1005"/>
              <w:jc w:val="center"/>
              <w:tabs>
                <w:tab w:val="left" w:pos="5580" w:leader="none"/>
              </w:tabs>
              <w:rPr>
                <w:rFonts w:hint="eastAsia"/>
                <w:b/>
                <w:color w:val="000000"/>
                <w:sz w:val="24"/>
                <w:highlight w:val="none"/>
              </w:rPr>
            </w:pPr>
            <w:r>
              <w:rPr>
                <w:b/>
                <w:color w:val="000000"/>
                <w:sz w:val="24"/>
                <w:highlight w:val="none"/>
              </w:rPr>
              <w:t xml:space="preserve">投标报价</w:t>
            </w:r>
            <w:r>
              <w:rPr>
                <w:rFonts w:hint="eastAsia"/>
                <w:b/>
                <w:color w:val="000000"/>
                <w:sz w:val="24"/>
                <w:highlight w:val="none"/>
              </w:rPr>
              <w:t xml:space="preserve">（优惠率）</w:t>
            </w:r>
            <w:r>
              <w:rPr>
                <w:rFonts w:hint="eastAsia"/>
                <w:b/>
                <w:color w:val="000000"/>
                <w:sz w:val="24"/>
                <w:highlight w:val="none"/>
              </w:rPr>
            </w:r>
            <w:r/>
          </w:p>
        </w:tc>
      </w:tr>
      <w:tr>
        <w:trPr>
          <w:trHeight w:val="1231"/>
        </w:trPr>
        <w:tc>
          <w:tcPr>
            <w:tcW w:w="690" w:type="dxa"/>
            <w:vAlign w:val="center"/>
            <w:textDirection w:val="lrTb"/>
            <w:noWrap w:val="false"/>
          </w:tcPr>
          <w:p>
            <w:pPr>
              <w:pStyle w:val="1005"/>
              <w:jc w:val="center"/>
              <w:tabs>
                <w:tab w:val="left" w:pos="5580" w:leader="none"/>
              </w:tabs>
              <w:rPr>
                <w:color w:val="000000"/>
                <w:sz w:val="24"/>
                <w:highlight w:val="none"/>
              </w:rPr>
            </w:pPr>
            <w:r>
              <w:rPr>
                <w:color w:val="000000"/>
                <w:sz w:val="24"/>
                <w:highlight w:val="none"/>
              </w:rPr>
            </w:r>
            <w:r/>
          </w:p>
        </w:tc>
        <w:tc>
          <w:tcPr>
            <w:tcW w:w="3709" w:type="dxa"/>
            <w:vAlign w:val="center"/>
            <w:textDirection w:val="lrTb"/>
            <w:noWrap w:val="false"/>
          </w:tcPr>
          <w:p>
            <w:pPr>
              <w:pStyle w:val="1005"/>
              <w:jc w:val="center"/>
              <w:tabs>
                <w:tab w:val="left" w:pos="5580" w:leader="none"/>
              </w:tabs>
              <w:rPr>
                <w:color w:val="000000"/>
                <w:sz w:val="24"/>
                <w:highlight w:val="none"/>
              </w:rPr>
            </w:pPr>
            <w:r>
              <w:rPr>
                <w:color w:val="000000"/>
                <w:sz w:val="24"/>
                <w:highlight w:val="none"/>
              </w:rPr>
            </w:r>
            <w:r/>
          </w:p>
        </w:tc>
        <w:tc>
          <w:tcPr>
            <w:tcW w:w="3973" w:type="dxa"/>
            <w:vAlign w:val="center"/>
            <w:textDirection w:val="lrTb"/>
            <w:noWrap w:val="false"/>
          </w:tcPr>
          <w:p>
            <w:pPr>
              <w:pStyle w:val="1005"/>
              <w:jc w:val="center"/>
              <w:tabs>
                <w:tab w:val="left" w:pos="5580" w:leader="none"/>
              </w:tabs>
              <w:rPr>
                <w:color w:val="000000"/>
                <w:sz w:val="24"/>
                <w:highlight w:val="none"/>
              </w:rPr>
            </w:pPr>
            <w:r>
              <w:rPr>
                <w:rFonts w:hint="eastAsia"/>
                <w:color w:val="000000"/>
                <w:sz w:val="24"/>
                <w:highlight w:val="none"/>
              </w:rPr>
              <w:t xml:space="preserve">____%</w:t>
            </w:r>
            <w:r>
              <w:rPr>
                <w:color w:val="000000"/>
                <w:sz w:val="24"/>
                <w:highlight w:val="none"/>
              </w:rPr>
            </w:r>
            <w:r/>
          </w:p>
        </w:tc>
      </w:tr>
    </w:tbl>
    <w:p>
      <w:pPr>
        <w:pStyle w:val="1005"/>
        <w:jc w:val="left"/>
        <w:rPr>
          <w:color w:val="000000"/>
          <w:sz w:val="24"/>
          <w:highlight w:val="none"/>
        </w:rPr>
      </w:pPr>
      <w:r>
        <w:rPr>
          <w:color w:val="000000"/>
          <w:sz w:val="24"/>
          <w:highlight w:val="none"/>
        </w:rPr>
      </w:r>
      <w:r/>
    </w:p>
    <w:p>
      <w:pPr>
        <w:pStyle w:val="1005"/>
        <w:jc w:val="left"/>
        <w:rPr>
          <w:rFonts w:hint="eastAsia"/>
          <w:b/>
          <w:bCs/>
          <w:color w:val="000000"/>
          <w:sz w:val="24"/>
          <w:highlight w:val="none"/>
        </w:rPr>
      </w:pPr>
      <w:r/>
      <w:bookmarkStart w:id="873" w:name="_Toc226309803"/>
      <w:r/>
      <w:bookmarkStart w:id="874" w:name="_Toc264969249"/>
      <w:r/>
      <w:bookmarkStart w:id="875" w:name="_Toc127151558"/>
      <w:r/>
      <w:bookmarkStart w:id="876" w:name="_Toc150774763"/>
      <w:r/>
      <w:bookmarkStart w:id="877" w:name="_Toc226337255"/>
      <w:r/>
      <w:bookmarkStart w:id="878" w:name="_Toc305158827"/>
      <w:r/>
      <w:bookmarkStart w:id="879" w:name="_Toc195842924"/>
      <w:r/>
      <w:bookmarkStart w:id="880" w:name="_Toc305158901"/>
      <w:r/>
      <w:bookmarkStart w:id="881" w:name="_Toc142311060"/>
      <w:r/>
      <w:bookmarkStart w:id="882" w:name="_Toc226965749"/>
      <w:r/>
      <w:bookmarkStart w:id="883" w:name="_Toc226965832"/>
      <w:r/>
      <w:bookmarkStart w:id="884" w:name="_Toc150480796"/>
      <w:r/>
      <w:bookmarkStart w:id="885" w:name="_Toc265228397"/>
      <w:r>
        <w:rPr>
          <w:b/>
          <w:bCs/>
          <w:color w:val="000000"/>
          <w:sz w:val="24"/>
          <w:highlight w:val="none"/>
        </w:rPr>
        <w:t xml:space="preserve">注：</w:t>
      </w:r>
      <w:r>
        <w:rPr>
          <w:rFonts w:hint="eastAsia"/>
          <w:b/>
          <w:bCs/>
          <w:color w:val="000000"/>
          <w:sz w:val="24"/>
          <w:highlight w:val="none"/>
        </w:rPr>
        <w:t xml:space="preserve">本项目以优惠率进行报价，结算价=最高限价×（1-优惠率），例如：投标人所报优惠率为10%，则各项目结算单价=各项目最高限价×（1-10%），即各项目结算单价=各项目最高限价×90%。</w:t>
      </w:r>
      <w:r>
        <w:rPr>
          <w:rFonts w:hint="eastAsia"/>
          <w:b/>
          <w:bCs/>
          <w:color w:val="000000"/>
          <w:sz w:val="24"/>
          <w:highlight w:val="none"/>
        </w:rPr>
      </w:r>
      <w:r/>
    </w:p>
    <w:p>
      <w:pPr>
        <w:pStyle w:val="1005"/>
        <w:ind w:firstLine="480"/>
        <w:tabs>
          <w:tab w:val="left" w:pos="5580" w:leader="none"/>
        </w:tabs>
        <w:rPr>
          <w:color w:val="000000"/>
          <w:sz w:val="24"/>
          <w:szCs w:val="20"/>
          <w:highlight w:val="none"/>
        </w:rPr>
      </w:pPr>
      <w:r>
        <w:rPr>
          <w:color w:val="000000"/>
          <w:sz w:val="24"/>
          <w:szCs w:val="20"/>
          <w:highlight w:val="none"/>
        </w:rPr>
      </w:r>
      <w:r/>
    </w:p>
    <w:p>
      <w:pPr>
        <w:pStyle w:val="1005"/>
        <w:spacing w:before="25" w:after="25" w:line="360" w:lineRule="auto"/>
        <w:rPr>
          <w:color w:val="000000"/>
          <w:sz w:val="24"/>
          <w:highlight w:val="none"/>
          <w:lang w:val="zh-CN"/>
        </w:rPr>
      </w:pPr>
      <w:r>
        <w:rPr>
          <w:color w:val="000000"/>
          <w:sz w:val="24"/>
          <w:highlight w:val="none"/>
          <w:lang w:val="zh-CN"/>
        </w:rPr>
      </w:r>
      <w:r/>
    </w:p>
    <w:p>
      <w:pPr>
        <w:pStyle w:val="1005"/>
        <w:spacing w:before="25" w:after="25" w:line="360" w:lineRule="auto"/>
        <w:rPr>
          <w:color w:val="000000"/>
          <w:sz w:val="24"/>
          <w:highlight w:val="none"/>
          <w:lang w:val="zh-CN"/>
        </w:rPr>
      </w:pPr>
      <w:r>
        <w:rPr>
          <w:color w:val="000000"/>
          <w:sz w:val="24"/>
          <w:highlight w:val="none"/>
          <w:lang w:val="zh-CN"/>
        </w:rPr>
      </w:r>
      <w:r/>
    </w:p>
    <w:p>
      <w:pPr>
        <w:pStyle w:val="100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w:t>
      </w:r>
      <w:r>
        <w:rPr>
          <w:rFonts w:hint="eastAsia"/>
          <w:color w:val="000000"/>
          <w:sz w:val="24"/>
          <w:highlight w:val="none"/>
        </w:rPr>
        <w:t xml:space="preserve">_________</w:t>
      </w:r>
      <w:r>
        <w:rPr>
          <w:color w:val="000000"/>
          <w:sz w:val="24"/>
          <w:highlight w:val="none"/>
          <w:lang w:val="zh-CN"/>
        </w:rPr>
        <w:t xml:space="preserve">______</w:t>
      </w:r>
      <w:r>
        <w:rPr>
          <w:color w:val="000000"/>
          <w:sz w:val="24"/>
          <w:highlight w:val="none"/>
          <w:lang w:val="zh-CN"/>
        </w:rPr>
      </w:r>
      <w:r/>
    </w:p>
    <w:p>
      <w:pPr>
        <w:pStyle w:val="1005"/>
        <w:spacing w:before="25" w:after="25" w:line="360" w:lineRule="auto"/>
        <w:rPr>
          <w:color w:val="000000"/>
          <w:sz w:val="24"/>
          <w:highlight w:val="none"/>
          <w:lang w:val="zh-CN"/>
        </w:rPr>
      </w:pPr>
      <w:r>
        <w:rPr>
          <w:color w:val="000000"/>
          <w:sz w:val="24"/>
          <w:szCs w:val="20"/>
          <w:highlight w:val="none"/>
        </w:rPr>
        <w:t xml:space="preserve">日期：_____年______月______日</w:t>
      </w:r>
      <w:r>
        <w:rPr>
          <w:color w:val="000000"/>
          <w:sz w:val="24"/>
          <w:highlight w:val="none"/>
          <w:lang w:val="zh-CN"/>
        </w:rPr>
      </w:r>
      <w:r/>
    </w:p>
    <w:p>
      <w:pPr>
        <w:pStyle w:val="1005"/>
        <w:jc w:val="left"/>
        <w:widowControl/>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005"/>
        <w:spacing w:line="360" w:lineRule="auto"/>
        <w:rPr>
          <w:color w:val="000000"/>
          <w:sz w:val="24"/>
          <w:szCs w:val="20"/>
          <w:highlight w:val="none"/>
        </w:rPr>
        <w:outlineLvl w:val="2"/>
      </w:pPr>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Start w:id="886" w:name="_Toc142311062"/>
      <w:r/>
      <w:bookmarkStart w:id="887" w:name="_Toc265228400"/>
      <w:r/>
      <w:bookmarkStart w:id="888" w:name="_Toc226309806"/>
      <w:r/>
      <w:bookmarkStart w:id="889" w:name="_Toc150774765"/>
      <w:r/>
      <w:bookmarkStart w:id="890" w:name="_Toc305158830"/>
      <w:r/>
      <w:bookmarkStart w:id="891" w:name="_Toc226337258"/>
      <w:r/>
      <w:bookmarkStart w:id="892" w:name="_Toc127151562"/>
      <w:r/>
      <w:bookmarkStart w:id="893" w:name="_Toc195842927"/>
      <w:r/>
      <w:bookmarkStart w:id="894" w:name="_Toc226965752"/>
      <w:r/>
      <w:bookmarkStart w:id="895" w:name="_Toc226965835"/>
      <w:r/>
      <w:bookmarkStart w:id="896" w:name="_Toc305158904"/>
      <w:r/>
      <w:bookmarkStart w:id="897" w:name="_Toc264969252"/>
      <w:r/>
      <w:bookmarkStart w:id="898" w:name="_Toc150480798"/>
      <w:r/>
      <w:bookmarkStart w:id="899" w:name="_Toc195842926"/>
      <w:r/>
      <w:bookmarkStart w:id="900" w:name="_Toc264969251"/>
      <w:r/>
      <w:bookmarkStart w:id="901" w:name="_Toc265228399"/>
      <w:r/>
      <w:bookmarkStart w:id="902" w:name="_Toc226965751"/>
      <w:r/>
      <w:bookmarkStart w:id="903" w:name="_Toc305158829"/>
      <w:r/>
      <w:bookmarkStart w:id="904" w:name="_Toc150480797"/>
      <w:r/>
      <w:bookmarkStart w:id="905" w:name="_Toc226309805"/>
      <w:r/>
      <w:bookmarkStart w:id="906" w:name="_Toc226337257"/>
      <w:r/>
      <w:bookmarkStart w:id="907" w:name="_Toc305158903"/>
      <w:r/>
      <w:bookmarkStart w:id="908" w:name="_Toc127151561"/>
      <w:r/>
      <w:bookmarkStart w:id="909" w:name="_Toc226965834"/>
      <w:r/>
      <w:bookmarkStart w:id="910" w:name="_Toc142311061"/>
      <w:r/>
      <w:bookmarkStart w:id="911" w:name="_Toc150774764"/>
      <w:r>
        <w:rPr>
          <w:rFonts w:hint="eastAsia"/>
          <w:color w:val="000000"/>
          <w:sz w:val="24"/>
          <w:szCs w:val="20"/>
          <w:highlight w:val="none"/>
        </w:rPr>
        <w:t xml:space="preserve">5</w:t>
      </w:r>
      <w:r>
        <w:rPr>
          <w:color w:val="000000"/>
          <w:sz w:val="24"/>
          <w:szCs w:val="20"/>
          <w:highlight w:val="none"/>
        </w:rPr>
        <w:t xml:space="preserve">  合同条款偏离表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b/>
          <w:color w:val="000000"/>
          <w:sz w:val="24"/>
          <w:szCs w:val="20"/>
          <w:highlight w:val="none"/>
        </w:rPr>
        <w:t xml:space="preserve">（实质性格式）</w:t>
      </w:r>
      <w:r>
        <w:rPr>
          <w:color w:val="000000"/>
          <w:sz w:val="24"/>
          <w:szCs w:val="20"/>
          <w:highlight w:val="none"/>
        </w:rPr>
      </w:r>
      <w:r/>
    </w:p>
    <w:p>
      <w:pPr>
        <w:pStyle w:val="1005"/>
        <w:spacing w:line="360" w:lineRule="auto"/>
        <w:rPr>
          <w:color w:val="000000"/>
          <w:sz w:val="24"/>
          <w:szCs w:val="20"/>
          <w:highlight w:val="none"/>
        </w:rPr>
      </w:pPr>
      <w:r>
        <w:rPr>
          <w:color w:val="000000"/>
          <w:sz w:val="24"/>
          <w:szCs w:val="20"/>
          <w:highlight w:val="none"/>
        </w:rPr>
      </w:r>
      <w:r/>
    </w:p>
    <w:p>
      <w:pPr>
        <w:pStyle w:val="1005"/>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05"/>
        <w:ind w:firstLine="360"/>
        <w:jc w:val="left"/>
        <w:spacing w:line="360" w:lineRule="auto"/>
        <w:tabs>
          <w:tab w:val="left" w:pos="1800" w:leader="none"/>
          <w:tab w:val="left" w:pos="5580" w:leader="none"/>
        </w:tabs>
        <w:rPr>
          <w:rFonts w:hint="eastAsia" w:ascii="宋体" w:hAnsi="宋体" w:eastAsia="宋体"/>
          <w:color w:val="000000"/>
          <w:sz w:val="24"/>
          <w:highlight w:val="none"/>
          <w:lang w:eastAsia="zh-CN"/>
        </w:rPr>
      </w:pPr>
      <w:r>
        <w:rPr>
          <w:color w:val="000000"/>
          <w:sz w:val="24"/>
          <w:highlight w:val="none"/>
        </w:rPr>
        <w:t xml:space="preserve">项目编号：</w:t>
      </w:r>
      <w:r>
        <w:rPr>
          <w:rFonts w:hint="eastAsia" w:ascii="宋体" w:hAnsi="宋体"/>
          <w:color w:val="000000"/>
          <w:sz w:val="24"/>
          <w:highlight w:val="none"/>
          <w:lang w:eastAsia="zh-CN"/>
        </w:rPr>
        <w:t xml:space="preserve">JSZC-320400-JSZG-G2025-0131</w:t>
      </w:r>
      <w:r>
        <w:rPr>
          <w:rFonts w:hint="eastAsia" w:ascii="宋体" w:hAnsi="宋体" w:eastAsia="宋体"/>
          <w:color w:val="000000"/>
          <w:sz w:val="24"/>
          <w:highlight w:val="none"/>
          <w:lang w:eastAsia="zh-CN"/>
        </w:rPr>
      </w:r>
      <w:r/>
    </w:p>
    <w:p>
      <w:pPr>
        <w:pStyle w:val="1005"/>
        <w:ind w:firstLine="360"/>
        <w:jc w:val="left"/>
        <w:spacing w:line="360" w:lineRule="auto"/>
        <w:tabs>
          <w:tab w:val="left" w:pos="1800" w:leader="none"/>
          <w:tab w:val="left" w:pos="5580" w:leader="none"/>
        </w:tabs>
        <w:rPr>
          <w:rFonts w:hint="eastAsia" w:eastAsia="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2026年度净水站运维社会化服务</w:t>
      </w:r>
      <w:r>
        <w:rPr>
          <w:rFonts w:hint="eastAsia" w:eastAsia="宋体"/>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05"/>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1005"/>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05"/>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2" w:type="dxa"/>
            <w:vAlign w:val="center"/>
            <w:textDirection w:val="lrTb"/>
            <w:noWrap w:val="false"/>
          </w:tcPr>
          <w:p>
            <w:pPr>
              <w:pStyle w:val="1005"/>
              <w:jc w:val="center"/>
              <w:rPr>
                <w:color w:val="000000"/>
                <w:sz w:val="24"/>
                <w:highlight w:val="none"/>
              </w:rPr>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1005"/>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1005"/>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1005"/>
              <w:jc w:val="center"/>
              <w:rPr>
                <w:color w:val="000000"/>
                <w:sz w:val="24"/>
                <w:highlight w:val="none"/>
              </w:rPr>
            </w:pPr>
            <w:r>
              <w:rPr>
                <w:color w:val="000000"/>
                <w:sz w:val="24"/>
                <w:highlight w:val="none"/>
              </w:rPr>
              <w:t xml:space="preserve">投标文件内容</w:t>
            </w:r>
            <w:r>
              <w:rPr>
                <w:color w:val="000000"/>
                <w:sz w:val="24"/>
                <w:highlight w:val="none"/>
              </w:rPr>
            </w:r>
            <w:r/>
          </w:p>
        </w:tc>
        <w:tc>
          <w:tcPr>
            <w:tcW w:w="2423" w:type="dxa"/>
            <w:vAlign w:val="center"/>
            <w:textDirection w:val="lrTb"/>
            <w:noWrap w:val="false"/>
          </w:tcPr>
          <w:p>
            <w:pPr>
              <w:pStyle w:val="1005"/>
              <w:jc w:val="center"/>
              <w:rPr>
                <w:color w:val="000000"/>
                <w:sz w:val="24"/>
                <w:highlight w:val="none"/>
              </w:rPr>
            </w:pPr>
            <w:r>
              <w:rPr>
                <w:color w:val="000000"/>
                <w:sz w:val="24"/>
                <w:highlight w:val="none"/>
              </w:rPr>
              <w:t xml:space="preserve">偏离情况</w:t>
            </w:r>
            <w:r>
              <w:rPr>
                <w:color w:val="000000"/>
                <w:sz w:val="24"/>
                <w:highlight w:val="none"/>
              </w:rPr>
            </w:r>
            <w:r/>
          </w:p>
        </w:tc>
        <w:tc>
          <w:tcPr>
            <w:tcW w:w="782" w:type="dxa"/>
            <w:vAlign w:val="center"/>
            <w:textDirection w:val="lrTb"/>
            <w:noWrap w:val="false"/>
          </w:tcPr>
          <w:p>
            <w:pPr>
              <w:pStyle w:val="100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2" w:type="dxa"/>
            <w:vAlign w:val="center"/>
            <w:textDirection w:val="lrTb"/>
            <w:noWrap w:val="false"/>
          </w:tcPr>
          <w:p>
            <w:pPr>
              <w:pStyle w:val="1005"/>
              <w:jc w:val="center"/>
              <w:rPr>
                <w:color w:val="000000"/>
                <w:sz w:val="24"/>
                <w:highlight w:val="none"/>
              </w:rPr>
            </w:pPr>
            <w:r>
              <w:rPr>
                <w:color w:val="000000"/>
                <w:sz w:val="24"/>
                <w:highlight w:val="none"/>
              </w:rPr>
            </w:r>
            <w:r/>
          </w:p>
        </w:tc>
        <w:tc>
          <w:tcPr>
            <w:tcW w:w="1290" w:type="dxa"/>
            <w:vAlign w:val="center"/>
            <w:textDirection w:val="lrTb"/>
            <w:noWrap w:val="false"/>
          </w:tcPr>
          <w:p>
            <w:pPr>
              <w:pStyle w:val="1005"/>
              <w:jc w:val="center"/>
              <w:rPr>
                <w:color w:val="000000"/>
                <w:sz w:val="24"/>
                <w:highlight w:val="none"/>
              </w:rPr>
            </w:pPr>
            <w:r>
              <w:rPr>
                <w:color w:val="000000"/>
                <w:sz w:val="24"/>
                <w:highlight w:val="none"/>
              </w:rPr>
            </w:r>
            <w:r/>
          </w:p>
        </w:tc>
        <w:tc>
          <w:tcPr>
            <w:tcW w:w="1980" w:type="dxa"/>
            <w:vAlign w:val="center"/>
            <w:textDirection w:val="lrTb"/>
            <w:noWrap w:val="false"/>
          </w:tcPr>
          <w:p>
            <w:pPr>
              <w:pStyle w:val="1005"/>
              <w:jc w:val="center"/>
              <w:rPr>
                <w:color w:val="000000"/>
                <w:sz w:val="24"/>
                <w:highlight w:val="none"/>
              </w:rPr>
            </w:pPr>
            <w:r>
              <w:rPr>
                <w:color w:val="000000"/>
                <w:sz w:val="24"/>
                <w:highlight w:val="none"/>
              </w:rPr>
            </w:r>
            <w:r/>
          </w:p>
        </w:tc>
        <w:tc>
          <w:tcPr>
            <w:tcW w:w="1981" w:type="dxa"/>
            <w:vAlign w:val="center"/>
            <w:textDirection w:val="lrTb"/>
            <w:noWrap w:val="false"/>
          </w:tcPr>
          <w:p>
            <w:pPr>
              <w:pStyle w:val="1005"/>
              <w:jc w:val="center"/>
              <w:rPr>
                <w:color w:val="000000"/>
                <w:sz w:val="24"/>
                <w:highlight w:val="none"/>
              </w:rPr>
            </w:pPr>
            <w:r>
              <w:rPr>
                <w:color w:val="000000"/>
                <w:sz w:val="24"/>
                <w:highlight w:val="none"/>
              </w:rPr>
            </w:r>
            <w:r/>
          </w:p>
        </w:tc>
        <w:tc>
          <w:tcPr>
            <w:tcW w:w="2423" w:type="dxa"/>
            <w:vAlign w:val="center"/>
            <w:textDirection w:val="lrTb"/>
            <w:noWrap w:val="false"/>
          </w:tcPr>
          <w:p>
            <w:pPr>
              <w:pStyle w:val="1005"/>
              <w:jc w:val="center"/>
              <w:rPr>
                <w:color w:val="000000"/>
                <w:sz w:val="24"/>
                <w:highlight w:val="none"/>
              </w:rPr>
            </w:pPr>
            <w:r>
              <w:rPr>
                <w:color w:val="000000"/>
                <w:sz w:val="24"/>
                <w:highlight w:val="none"/>
              </w:rPr>
            </w:r>
            <w:r/>
          </w:p>
        </w:tc>
        <w:tc>
          <w:tcPr>
            <w:tcW w:w="782" w:type="dxa"/>
            <w:vAlign w:val="center"/>
            <w:textDirection w:val="lrTb"/>
            <w:noWrap w:val="false"/>
          </w:tcPr>
          <w:p>
            <w:pPr>
              <w:pStyle w:val="1005"/>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1005"/>
              <w:jc w:val="center"/>
              <w:rPr>
                <w:color w:val="000000"/>
                <w:sz w:val="24"/>
                <w:highlight w:val="none"/>
              </w:rPr>
            </w:pPr>
            <w:r>
              <w:rPr>
                <w:color w:val="000000"/>
                <w:sz w:val="24"/>
                <w:highlight w:val="none"/>
              </w:rPr>
            </w:r>
            <w:r/>
          </w:p>
        </w:tc>
        <w:tc>
          <w:tcPr>
            <w:tcW w:w="1290" w:type="dxa"/>
            <w:vAlign w:val="center"/>
            <w:textDirection w:val="lrTb"/>
            <w:noWrap w:val="false"/>
          </w:tcPr>
          <w:p>
            <w:pPr>
              <w:pStyle w:val="1005"/>
              <w:jc w:val="center"/>
              <w:rPr>
                <w:color w:val="000000"/>
                <w:sz w:val="24"/>
                <w:highlight w:val="none"/>
              </w:rPr>
            </w:pPr>
            <w:r>
              <w:rPr>
                <w:color w:val="000000"/>
                <w:sz w:val="24"/>
                <w:highlight w:val="none"/>
              </w:rPr>
            </w:r>
            <w:r/>
          </w:p>
        </w:tc>
        <w:tc>
          <w:tcPr>
            <w:tcW w:w="1980" w:type="dxa"/>
            <w:vAlign w:val="center"/>
            <w:textDirection w:val="lrTb"/>
            <w:noWrap w:val="false"/>
          </w:tcPr>
          <w:p>
            <w:pPr>
              <w:pStyle w:val="1005"/>
              <w:jc w:val="center"/>
              <w:rPr>
                <w:color w:val="000000"/>
                <w:sz w:val="24"/>
                <w:highlight w:val="none"/>
              </w:rPr>
            </w:pPr>
            <w:r>
              <w:rPr>
                <w:color w:val="000000"/>
                <w:sz w:val="24"/>
                <w:highlight w:val="none"/>
              </w:rPr>
            </w:r>
            <w:r/>
          </w:p>
        </w:tc>
        <w:tc>
          <w:tcPr>
            <w:tcW w:w="1981" w:type="dxa"/>
            <w:vAlign w:val="center"/>
            <w:textDirection w:val="lrTb"/>
            <w:noWrap w:val="false"/>
          </w:tcPr>
          <w:p>
            <w:pPr>
              <w:pStyle w:val="1005"/>
              <w:jc w:val="center"/>
              <w:rPr>
                <w:color w:val="000000"/>
                <w:sz w:val="24"/>
                <w:highlight w:val="none"/>
              </w:rPr>
            </w:pPr>
            <w:r>
              <w:rPr>
                <w:color w:val="000000"/>
                <w:sz w:val="24"/>
                <w:highlight w:val="none"/>
              </w:rPr>
            </w:r>
            <w:r/>
          </w:p>
        </w:tc>
        <w:tc>
          <w:tcPr>
            <w:tcW w:w="2423" w:type="dxa"/>
            <w:vAlign w:val="center"/>
            <w:textDirection w:val="lrTb"/>
            <w:noWrap w:val="false"/>
          </w:tcPr>
          <w:p>
            <w:pPr>
              <w:pStyle w:val="1005"/>
              <w:jc w:val="center"/>
              <w:rPr>
                <w:color w:val="000000"/>
                <w:sz w:val="24"/>
                <w:highlight w:val="none"/>
              </w:rPr>
            </w:pPr>
            <w:r>
              <w:rPr>
                <w:color w:val="000000"/>
                <w:sz w:val="24"/>
                <w:highlight w:val="none"/>
              </w:rPr>
            </w:r>
            <w:r/>
          </w:p>
        </w:tc>
        <w:tc>
          <w:tcPr>
            <w:tcW w:w="782" w:type="dxa"/>
            <w:vAlign w:val="center"/>
            <w:textDirection w:val="lrTb"/>
            <w:noWrap w:val="false"/>
          </w:tcPr>
          <w:p>
            <w:pPr>
              <w:pStyle w:val="1005"/>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1005"/>
              <w:jc w:val="center"/>
              <w:rPr>
                <w:color w:val="000000"/>
                <w:sz w:val="24"/>
                <w:highlight w:val="none"/>
              </w:rPr>
            </w:pPr>
            <w:r>
              <w:rPr>
                <w:color w:val="000000"/>
                <w:sz w:val="24"/>
                <w:highlight w:val="none"/>
              </w:rPr>
            </w:r>
            <w:r/>
          </w:p>
        </w:tc>
        <w:tc>
          <w:tcPr>
            <w:tcW w:w="1290" w:type="dxa"/>
            <w:vAlign w:val="center"/>
            <w:textDirection w:val="lrTb"/>
            <w:noWrap w:val="false"/>
          </w:tcPr>
          <w:p>
            <w:pPr>
              <w:pStyle w:val="1005"/>
              <w:jc w:val="center"/>
              <w:rPr>
                <w:color w:val="000000"/>
                <w:sz w:val="24"/>
                <w:highlight w:val="none"/>
              </w:rPr>
            </w:pPr>
            <w:r>
              <w:rPr>
                <w:color w:val="000000"/>
                <w:sz w:val="24"/>
                <w:highlight w:val="none"/>
              </w:rPr>
            </w:r>
            <w:r/>
          </w:p>
        </w:tc>
        <w:tc>
          <w:tcPr>
            <w:tcW w:w="1980" w:type="dxa"/>
            <w:vAlign w:val="center"/>
            <w:textDirection w:val="lrTb"/>
            <w:noWrap w:val="false"/>
          </w:tcPr>
          <w:p>
            <w:pPr>
              <w:pStyle w:val="1005"/>
              <w:jc w:val="center"/>
              <w:rPr>
                <w:color w:val="000000"/>
                <w:sz w:val="24"/>
                <w:highlight w:val="none"/>
              </w:rPr>
            </w:pPr>
            <w:r>
              <w:rPr>
                <w:color w:val="000000"/>
                <w:sz w:val="24"/>
                <w:highlight w:val="none"/>
              </w:rPr>
            </w:r>
            <w:r/>
          </w:p>
        </w:tc>
        <w:tc>
          <w:tcPr>
            <w:tcW w:w="1981" w:type="dxa"/>
            <w:vAlign w:val="center"/>
            <w:textDirection w:val="lrTb"/>
            <w:noWrap w:val="false"/>
          </w:tcPr>
          <w:p>
            <w:pPr>
              <w:pStyle w:val="1005"/>
              <w:jc w:val="center"/>
              <w:rPr>
                <w:color w:val="000000"/>
                <w:sz w:val="24"/>
                <w:highlight w:val="none"/>
              </w:rPr>
            </w:pPr>
            <w:r>
              <w:rPr>
                <w:color w:val="000000"/>
                <w:sz w:val="24"/>
                <w:highlight w:val="none"/>
              </w:rPr>
            </w:r>
            <w:r/>
          </w:p>
        </w:tc>
        <w:tc>
          <w:tcPr>
            <w:tcW w:w="2423" w:type="dxa"/>
            <w:vAlign w:val="center"/>
            <w:textDirection w:val="lrTb"/>
            <w:noWrap w:val="false"/>
          </w:tcPr>
          <w:p>
            <w:pPr>
              <w:pStyle w:val="1005"/>
              <w:jc w:val="center"/>
              <w:rPr>
                <w:color w:val="000000"/>
                <w:sz w:val="24"/>
                <w:highlight w:val="none"/>
              </w:rPr>
            </w:pPr>
            <w:r>
              <w:rPr>
                <w:color w:val="000000"/>
                <w:sz w:val="24"/>
                <w:highlight w:val="none"/>
              </w:rPr>
            </w:r>
            <w:r/>
          </w:p>
        </w:tc>
        <w:tc>
          <w:tcPr>
            <w:tcW w:w="782" w:type="dxa"/>
            <w:vAlign w:val="center"/>
            <w:textDirection w:val="lrTb"/>
            <w:noWrap w:val="false"/>
          </w:tcPr>
          <w:p>
            <w:pPr>
              <w:pStyle w:val="1005"/>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1005"/>
              <w:jc w:val="center"/>
              <w:rPr>
                <w:color w:val="000000"/>
                <w:sz w:val="24"/>
                <w:highlight w:val="none"/>
              </w:rPr>
            </w:pPr>
            <w:r>
              <w:rPr>
                <w:color w:val="000000"/>
                <w:sz w:val="24"/>
                <w:highlight w:val="none"/>
              </w:rPr>
              <w:t xml:space="preserve">……</w:t>
            </w:r>
            <w:r>
              <w:rPr>
                <w:color w:val="000000"/>
                <w:sz w:val="24"/>
                <w:highlight w:val="none"/>
              </w:rPr>
            </w:r>
            <w:r/>
          </w:p>
        </w:tc>
        <w:tc>
          <w:tcPr>
            <w:tcW w:w="1290" w:type="dxa"/>
            <w:vAlign w:val="center"/>
            <w:textDirection w:val="lrTb"/>
            <w:noWrap w:val="false"/>
          </w:tcPr>
          <w:p>
            <w:pPr>
              <w:pStyle w:val="1005"/>
              <w:jc w:val="center"/>
              <w:rPr>
                <w:color w:val="000000"/>
                <w:sz w:val="24"/>
                <w:highlight w:val="none"/>
              </w:rPr>
            </w:pPr>
            <w:r>
              <w:rPr>
                <w:color w:val="000000"/>
                <w:sz w:val="24"/>
                <w:highlight w:val="none"/>
              </w:rPr>
            </w:r>
            <w:r/>
          </w:p>
        </w:tc>
        <w:tc>
          <w:tcPr>
            <w:tcW w:w="1980" w:type="dxa"/>
            <w:vAlign w:val="center"/>
            <w:textDirection w:val="lrTb"/>
            <w:noWrap w:val="false"/>
          </w:tcPr>
          <w:p>
            <w:pPr>
              <w:pStyle w:val="1005"/>
              <w:jc w:val="center"/>
              <w:rPr>
                <w:color w:val="000000"/>
                <w:sz w:val="24"/>
                <w:highlight w:val="none"/>
              </w:rPr>
            </w:pPr>
            <w:r>
              <w:rPr>
                <w:color w:val="000000"/>
                <w:sz w:val="24"/>
                <w:highlight w:val="none"/>
              </w:rPr>
            </w:r>
            <w:r/>
          </w:p>
        </w:tc>
        <w:tc>
          <w:tcPr>
            <w:tcW w:w="1981" w:type="dxa"/>
            <w:vAlign w:val="center"/>
            <w:textDirection w:val="lrTb"/>
            <w:noWrap w:val="false"/>
          </w:tcPr>
          <w:p>
            <w:pPr>
              <w:pStyle w:val="1005"/>
              <w:jc w:val="center"/>
              <w:rPr>
                <w:color w:val="000000"/>
                <w:sz w:val="24"/>
                <w:highlight w:val="none"/>
              </w:rPr>
            </w:pPr>
            <w:r>
              <w:rPr>
                <w:color w:val="000000"/>
                <w:sz w:val="24"/>
                <w:highlight w:val="none"/>
              </w:rPr>
            </w:r>
            <w:r/>
          </w:p>
        </w:tc>
        <w:tc>
          <w:tcPr>
            <w:tcW w:w="2423" w:type="dxa"/>
            <w:vAlign w:val="center"/>
            <w:textDirection w:val="lrTb"/>
            <w:noWrap w:val="false"/>
          </w:tcPr>
          <w:p>
            <w:pPr>
              <w:pStyle w:val="1005"/>
              <w:jc w:val="center"/>
              <w:rPr>
                <w:color w:val="000000"/>
                <w:sz w:val="24"/>
                <w:highlight w:val="none"/>
              </w:rPr>
            </w:pPr>
            <w:r>
              <w:rPr>
                <w:color w:val="000000"/>
                <w:sz w:val="24"/>
                <w:highlight w:val="none"/>
              </w:rPr>
            </w:r>
            <w:r/>
          </w:p>
        </w:tc>
        <w:tc>
          <w:tcPr>
            <w:tcW w:w="782" w:type="dxa"/>
            <w:vAlign w:val="center"/>
            <w:textDirection w:val="lrTb"/>
            <w:noWrap w:val="false"/>
          </w:tcPr>
          <w:p>
            <w:pPr>
              <w:pStyle w:val="1005"/>
              <w:jc w:val="center"/>
              <w:rPr>
                <w:color w:val="000000"/>
                <w:sz w:val="24"/>
                <w:highlight w:val="none"/>
              </w:rPr>
            </w:pPr>
            <w:r>
              <w:rPr>
                <w:color w:val="000000"/>
                <w:sz w:val="24"/>
                <w:highlight w:val="none"/>
              </w:rPr>
            </w:r>
            <w:r/>
          </w:p>
        </w:tc>
      </w:tr>
    </w:tbl>
    <w:p>
      <w:pPr>
        <w:pStyle w:val="1005"/>
        <w:jc w:val="left"/>
        <w:tabs>
          <w:tab w:val="left" w:pos="1800" w:leader="none"/>
          <w:tab w:val="left" w:pos="5580" w:leader="none"/>
        </w:tabs>
        <w:rPr>
          <w:color w:val="000000"/>
          <w:sz w:val="24"/>
          <w:highlight w:val="none"/>
        </w:rPr>
      </w:pPr>
      <w:r>
        <w:rPr>
          <w:color w:val="000000"/>
          <w:sz w:val="24"/>
          <w:highlight w:val="none"/>
        </w:rPr>
      </w:r>
      <w:r/>
    </w:p>
    <w:p>
      <w:pPr>
        <w:pStyle w:val="100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05"/>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005"/>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lang w:eastAsia="zh-CN"/>
        </w:rPr>
        <w:t xml:space="preserve">“</w:t>
      </w:r>
      <w:r>
        <w:rPr>
          <w:rFonts w:hint="eastAsia"/>
          <w:color w:val="000000"/>
          <w:sz w:val="24"/>
          <w:highlight w:val="none"/>
        </w:rPr>
        <w:t xml:space="preserve">偏离情况</w:t>
      </w:r>
      <w:r>
        <w:rPr>
          <w:rFonts w:hint="eastAsia"/>
          <w:color w:val="000000"/>
          <w:sz w:val="24"/>
          <w:highlight w:val="none"/>
          <w:lang w:eastAsia="zh-CN"/>
        </w:rPr>
        <w:t xml:space="preserve">”</w:t>
      </w:r>
      <w:r>
        <w:rPr>
          <w:rFonts w:hint="eastAsia"/>
          <w:color w:val="000000"/>
          <w:sz w:val="24"/>
          <w:highlight w:val="none"/>
        </w:rPr>
        <w:t xml:space="preserve">列应</w:t>
      </w:r>
      <w:r>
        <w:rPr>
          <w:color w:val="000000"/>
          <w:sz w:val="24"/>
          <w:highlight w:val="none"/>
        </w:rPr>
        <w:t xml:space="preserve">据实</w:t>
      </w:r>
      <w:r>
        <w:rPr>
          <w:rFonts w:hint="eastAsia"/>
          <w:color w:val="000000"/>
          <w:sz w:val="24"/>
          <w:highlight w:val="none"/>
        </w:rPr>
        <w:t xml:space="preserve">填写</w:t>
      </w:r>
      <w:r>
        <w:rPr>
          <w:rFonts w:hint="eastAsia"/>
          <w:color w:val="000000"/>
          <w:sz w:val="24"/>
          <w:highlight w:val="none"/>
          <w:lang w:eastAsia="zh-CN"/>
        </w:rPr>
        <w:t xml:space="preserve">“</w:t>
      </w:r>
      <w:r>
        <w:rPr>
          <w:rFonts w:hint="eastAsia"/>
          <w:color w:val="000000"/>
          <w:sz w:val="24"/>
          <w:highlight w:val="none"/>
        </w:rPr>
        <w:t xml:space="preserve">无偏离</w:t>
      </w:r>
      <w:r>
        <w:rPr>
          <w:rFonts w:hint="eastAsia"/>
          <w:color w:val="000000"/>
          <w:sz w:val="24"/>
          <w:highlight w:val="none"/>
          <w:lang w:eastAsia="zh-CN"/>
        </w:rPr>
        <w:t xml:space="preserve">”</w:t>
      </w:r>
      <w:r>
        <w:rPr>
          <w:rFonts w:hint="eastAsia"/>
          <w:color w:val="000000"/>
          <w:sz w:val="24"/>
          <w:highlight w:val="none"/>
        </w:rPr>
        <w:t xml:space="preserve">或</w:t>
      </w:r>
      <w:r>
        <w:rPr>
          <w:rFonts w:hint="eastAsia"/>
          <w:color w:val="000000"/>
          <w:sz w:val="24"/>
          <w:highlight w:val="none"/>
          <w:lang w:eastAsia="zh-CN"/>
        </w:rPr>
        <w:t xml:space="preserve">“</w:t>
      </w:r>
      <w:r>
        <w:rPr>
          <w:rFonts w:hint="eastAsia"/>
          <w:color w:val="000000"/>
          <w:sz w:val="24"/>
          <w:highlight w:val="none"/>
        </w:rPr>
        <w:t xml:space="preserve">有偏离</w:t>
      </w:r>
      <w:r>
        <w:rPr>
          <w:rFonts w:hint="eastAsia"/>
          <w:color w:val="000000"/>
          <w:sz w:val="24"/>
          <w:highlight w:val="none"/>
          <w:lang w:eastAsia="zh-CN"/>
        </w:rPr>
        <w:t xml:space="preserve">”</w:t>
      </w:r>
      <w:r>
        <w:rPr>
          <w:rFonts w:hint="eastAsia"/>
          <w:color w:val="000000"/>
          <w:sz w:val="24"/>
          <w:highlight w:val="none"/>
        </w:rPr>
        <w:t xml:space="preserve">。</w:t>
      </w:r>
      <w:r>
        <w:rPr>
          <w:color w:val="000000"/>
          <w:sz w:val="24"/>
          <w:highlight w:val="none"/>
        </w:rPr>
      </w:r>
      <w:r/>
    </w:p>
    <w:p>
      <w:pPr>
        <w:pStyle w:val="1005"/>
        <w:spacing w:line="360" w:lineRule="auto"/>
        <w:rPr>
          <w:color w:val="000000"/>
          <w:sz w:val="24"/>
          <w:szCs w:val="20"/>
          <w:highlight w:val="none"/>
        </w:rPr>
      </w:pPr>
      <w:r>
        <w:rPr>
          <w:color w:val="000000"/>
          <w:sz w:val="24"/>
          <w:szCs w:val="20"/>
          <w:highlight w:val="none"/>
        </w:rPr>
      </w:r>
      <w:r/>
    </w:p>
    <w:p>
      <w:pPr>
        <w:pStyle w:val="1005"/>
        <w:spacing w:before="25" w:after="25" w:line="360" w:lineRule="auto"/>
        <w:rPr>
          <w:color w:val="000000"/>
          <w:sz w:val="24"/>
          <w:highlight w:val="none"/>
          <w:lang w:val="zh-CN"/>
        </w:rPr>
      </w:pPr>
      <w:r>
        <w:rPr>
          <w:color w:val="000000"/>
          <w:sz w:val="24"/>
          <w:highlight w:val="none"/>
          <w:lang w:val="zh-CN"/>
        </w:rPr>
      </w:r>
      <w:r/>
    </w:p>
    <w:p>
      <w:pPr>
        <w:pStyle w:val="100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w:t>
      </w:r>
      <w:r>
        <w:rPr>
          <w:color w:val="000000"/>
          <w:sz w:val="24"/>
          <w:highlight w:val="none"/>
          <w:u w:val="single"/>
          <w:lang w:val="zh-CN"/>
        </w:rPr>
        <w:t xml:space="preserve">   </w:t>
      </w:r>
      <w:r>
        <w:rPr>
          <w:rFonts w:hint="eastAsia"/>
          <w:color w:val="000000"/>
          <w:sz w:val="24"/>
          <w:highlight w:val="none"/>
          <w:u w:val="single"/>
        </w:rPr>
        <w:t xml:space="preserve">               </w:t>
      </w:r>
      <w:r>
        <w:rPr>
          <w:color w:val="000000"/>
          <w:sz w:val="24"/>
          <w:highlight w:val="none"/>
          <w:u w:val="single"/>
          <w:lang w:val="zh-CN"/>
        </w:rPr>
        <w:t xml:space="preserve"> </w:t>
      </w:r>
      <w:r>
        <w:rPr>
          <w:color w:val="000000"/>
          <w:sz w:val="24"/>
          <w:highlight w:val="none"/>
          <w:lang w:val="zh-CN"/>
        </w:rPr>
      </w:r>
      <w:r/>
    </w:p>
    <w:p>
      <w:pPr>
        <w:pStyle w:val="1005"/>
        <w:spacing w:before="25" w:after="25" w:line="360" w:lineRule="auto"/>
        <w:rPr>
          <w:color w:val="000000"/>
          <w:sz w:val="24"/>
          <w:highlight w:val="none"/>
          <w:lang w:val="zh-CN"/>
        </w:rPr>
      </w:pPr>
      <w:r>
        <w:rPr>
          <w:color w:val="000000"/>
          <w:sz w:val="24"/>
          <w:szCs w:val="20"/>
          <w:highlight w:val="none"/>
        </w:rPr>
        <w:t xml:space="preserve">日期：_____年____月____日</w:t>
      </w:r>
      <w:r>
        <w:rPr>
          <w:color w:val="000000"/>
          <w:sz w:val="24"/>
          <w:highlight w:val="none"/>
          <w:lang w:val="zh-CN"/>
        </w:rPr>
      </w:r>
      <w:r/>
    </w:p>
    <w:p>
      <w:pPr>
        <w:pStyle w:val="1005"/>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005"/>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color w:val="000000"/>
          <w:sz w:val="24"/>
          <w:szCs w:val="20"/>
          <w:highlight w:val="none"/>
        </w:rPr>
        <w:t xml:space="preserve">采购需求偏离表</w:t>
      </w:r>
      <w:r>
        <w:rPr>
          <w:b/>
          <w:color w:val="000000"/>
          <w:sz w:val="24"/>
          <w:szCs w:val="20"/>
          <w:highlight w:val="none"/>
        </w:rPr>
        <w:t xml:space="preserve">（实质性格式）</w:t>
      </w:r>
      <w:r>
        <w:rPr>
          <w:color w:val="000000"/>
          <w:sz w:val="24"/>
          <w:szCs w:val="20"/>
          <w:highlight w:val="none"/>
        </w:rPr>
      </w:r>
      <w:r/>
    </w:p>
    <w:p>
      <w:pPr>
        <w:pStyle w:val="1005"/>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05"/>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05"/>
        <w:ind w:firstLine="360"/>
        <w:jc w:val="left"/>
        <w:spacing w:line="360" w:lineRule="auto"/>
        <w:tabs>
          <w:tab w:val="left" w:pos="1800" w:leader="none"/>
          <w:tab w:val="left" w:pos="5580" w:leader="none"/>
        </w:tabs>
        <w:rPr>
          <w:rFonts w:hint="eastAsia" w:ascii="宋体" w:hAnsi="宋体" w:eastAsia="宋体"/>
          <w:color w:val="000000"/>
          <w:sz w:val="24"/>
          <w:highlight w:val="none"/>
          <w:lang w:eastAsia="zh-CN"/>
        </w:rPr>
      </w:pPr>
      <w:r>
        <w:rPr>
          <w:color w:val="000000"/>
          <w:sz w:val="24"/>
          <w:highlight w:val="none"/>
        </w:rPr>
        <w:t xml:space="preserve">项目编号：</w:t>
      </w:r>
      <w:r>
        <w:rPr>
          <w:rFonts w:hint="eastAsia" w:ascii="宋体" w:hAnsi="宋体"/>
          <w:color w:val="000000"/>
          <w:sz w:val="24"/>
          <w:highlight w:val="none"/>
          <w:lang w:eastAsia="zh-CN"/>
        </w:rPr>
        <w:t xml:space="preserve">JSZC-320400-JSZG-G2025-0131</w:t>
      </w:r>
      <w:r>
        <w:rPr>
          <w:rFonts w:hint="eastAsia" w:ascii="宋体" w:hAnsi="宋体" w:eastAsia="宋体"/>
          <w:color w:val="000000"/>
          <w:sz w:val="24"/>
          <w:highlight w:val="none"/>
          <w:lang w:eastAsia="zh-CN"/>
        </w:rPr>
      </w:r>
      <w:r/>
    </w:p>
    <w:p>
      <w:pPr>
        <w:pStyle w:val="1005"/>
        <w:ind w:firstLine="360"/>
        <w:jc w:val="left"/>
        <w:spacing w:line="360" w:lineRule="auto"/>
        <w:tabs>
          <w:tab w:val="left" w:pos="1800" w:leader="none"/>
          <w:tab w:val="left" w:pos="5580" w:leader="none"/>
        </w:tabs>
        <w:rPr>
          <w:rFonts w:hint="eastAsia" w:eastAsia="宋体"/>
          <w:color w:val="000000"/>
          <w:sz w:val="24"/>
          <w:highlight w:val="none"/>
          <w:u w:val="single"/>
          <w:lang w:eastAsia="zh-CN"/>
        </w:rPr>
      </w:pPr>
      <w:r>
        <w:rPr>
          <w:color w:val="000000"/>
          <w:sz w:val="24"/>
          <w:highlight w:val="none"/>
        </w:rPr>
        <w:t xml:space="preserve">项目名称：</w:t>
      </w:r>
      <w:r>
        <w:rPr>
          <w:rFonts w:hint="eastAsia"/>
          <w:color w:val="000000"/>
          <w:sz w:val="24"/>
          <w:highlight w:val="none"/>
          <w:lang w:eastAsia="zh-CN"/>
        </w:rPr>
        <w:t xml:space="preserve">2026年度净水站运维社会化服务</w:t>
      </w:r>
      <w:r>
        <w:rPr>
          <w:rFonts w:hint="eastAsia" w:eastAsia="宋体"/>
          <w:color w:val="000000"/>
          <w:sz w:val="24"/>
          <w:highlight w:val="none"/>
          <w:u w:val="singl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05"/>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005"/>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1005"/>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1005"/>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1005"/>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100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005"/>
              <w:jc w:val="center"/>
              <w:rPr>
                <w:color w:val="000000"/>
                <w:sz w:val="24"/>
                <w:highlight w:val="none"/>
              </w:rPr>
            </w:pPr>
            <w:r>
              <w:rPr>
                <w:color w:val="000000"/>
                <w:sz w:val="24"/>
                <w:highlight w:val="none"/>
              </w:rPr>
            </w:r>
            <w:r/>
          </w:p>
        </w:tc>
        <w:tc>
          <w:tcPr>
            <w:tcW w:w="1482" w:type="dxa"/>
            <w:vAlign w:val="center"/>
            <w:textDirection w:val="lrTb"/>
            <w:noWrap w:val="false"/>
          </w:tcPr>
          <w:p>
            <w:pPr>
              <w:pStyle w:val="1005"/>
              <w:jc w:val="center"/>
              <w:rPr>
                <w:color w:val="000000"/>
                <w:sz w:val="24"/>
                <w:highlight w:val="none"/>
              </w:rPr>
            </w:pPr>
            <w:r>
              <w:rPr>
                <w:color w:val="000000"/>
                <w:sz w:val="24"/>
                <w:highlight w:val="none"/>
              </w:rPr>
            </w:r>
            <w:r/>
          </w:p>
        </w:tc>
        <w:tc>
          <w:tcPr>
            <w:tcW w:w="2384" w:type="dxa"/>
            <w:vAlign w:val="center"/>
            <w:textDirection w:val="lrTb"/>
            <w:noWrap w:val="false"/>
          </w:tcPr>
          <w:p>
            <w:pPr>
              <w:pStyle w:val="1005"/>
              <w:jc w:val="center"/>
              <w:rPr>
                <w:color w:val="000000"/>
                <w:sz w:val="24"/>
                <w:highlight w:val="none"/>
              </w:rPr>
            </w:pPr>
            <w:r>
              <w:rPr>
                <w:color w:val="000000"/>
                <w:sz w:val="24"/>
                <w:highlight w:val="none"/>
              </w:rPr>
            </w:r>
            <w:r/>
          </w:p>
        </w:tc>
        <w:tc>
          <w:tcPr>
            <w:tcW w:w="2126" w:type="dxa"/>
            <w:vAlign w:val="center"/>
            <w:textDirection w:val="lrTb"/>
            <w:noWrap w:val="false"/>
          </w:tcPr>
          <w:p>
            <w:pPr>
              <w:pStyle w:val="1005"/>
              <w:jc w:val="center"/>
              <w:rPr>
                <w:color w:val="000000"/>
                <w:sz w:val="24"/>
                <w:highlight w:val="none"/>
              </w:rPr>
            </w:pPr>
            <w:r>
              <w:rPr>
                <w:color w:val="000000"/>
                <w:sz w:val="24"/>
                <w:highlight w:val="none"/>
              </w:rPr>
            </w:r>
            <w:r/>
          </w:p>
        </w:tc>
        <w:tc>
          <w:tcPr>
            <w:tcW w:w="1875" w:type="dxa"/>
            <w:vAlign w:val="center"/>
            <w:textDirection w:val="lrTb"/>
            <w:noWrap w:val="false"/>
          </w:tcPr>
          <w:p>
            <w:pPr>
              <w:pStyle w:val="1005"/>
              <w:jc w:val="center"/>
              <w:rPr>
                <w:color w:val="000000"/>
                <w:sz w:val="24"/>
                <w:highlight w:val="none"/>
              </w:rPr>
            </w:pPr>
            <w:r>
              <w:rPr>
                <w:color w:val="000000"/>
                <w:sz w:val="24"/>
                <w:highlight w:val="none"/>
              </w:rPr>
            </w:r>
            <w:r/>
          </w:p>
        </w:tc>
        <w:tc>
          <w:tcPr>
            <w:tcW w:w="1009" w:type="dxa"/>
            <w:vAlign w:val="center"/>
            <w:textDirection w:val="lrTb"/>
            <w:noWrap w:val="false"/>
          </w:tcPr>
          <w:p>
            <w:pPr>
              <w:pStyle w:val="100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05"/>
              <w:jc w:val="center"/>
              <w:rPr>
                <w:color w:val="000000"/>
                <w:sz w:val="24"/>
                <w:highlight w:val="none"/>
              </w:rPr>
            </w:pPr>
            <w:r>
              <w:rPr>
                <w:color w:val="000000"/>
                <w:sz w:val="24"/>
                <w:highlight w:val="none"/>
              </w:rPr>
            </w:r>
            <w:r/>
          </w:p>
        </w:tc>
        <w:tc>
          <w:tcPr>
            <w:tcW w:w="1482" w:type="dxa"/>
            <w:vAlign w:val="center"/>
            <w:textDirection w:val="lrTb"/>
            <w:noWrap w:val="false"/>
          </w:tcPr>
          <w:p>
            <w:pPr>
              <w:pStyle w:val="1005"/>
              <w:jc w:val="center"/>
              <w:rPr>
                <w:color w:val="000000"/>
                <w:sz w:val="24"/>
                <w:highlight w:val="none"/>
              </w:rPr>
            </w:pPr>
            <w:r>
              <w:rPr>
                <w:color w:val="000000"/>
                <w:sz w:val="24"/>
                <w:highlight w:val="none"/>
              </w:rPr>
            </w:r>
            <w:r/>
          </w:p>
        </w:tc>
        <w:tc>
          <w:tcPr>
            <w:tcW w:w="2384" w:type="dxa"/>
            <w:vAlign w:val="center"/>
            <w:textDirection w:val="lrTb"/>
            <w:noWrap w:val="false"/>
          </w:tcPr>
          <w:p>
            <w:pPr>
              <w:pStyle w:val="1005"/>
              <w:jc w:val="center"/>
              <w:rPr>
                <w:color w:val="000000"/>
                <w:sz w:val="24"/>
                <w:highlight w:val="none"/>
              </w:rPr>
            </w:pPr>
            <w:r>
              <w:rPr>
                <w:color w:val="000000"/>
                <w:sz w:val="24"/>
                <w:highlight w:val="none"/>
              </w:rPr>
            </w:r>
            <w:r/>
          </w:p>
        </w:tc>
        <w:tc>
          <w:tcPr>
            <w:tcW w:w="2126" w:type="dxa"/>
            <w:vAlign w:val="center"/>
            <w:textDirection w:val="lrTb"/>
            <w:noWrap w:val="false"/>
          </w:tcPr>
          <w:p>
            <w:pPr>
              <w:pStyle w:val="1005"/>
              <w:jc w:val="center"/>
              <w:rPr>
                <w:color w:val="000000"/>
                <w:sz w:val="24"/>
                <w:highlight w:val="none"/>
              </w:rPr>
            </w:pPr>
            <w:r>
              <w:rPr>
                <w:color w:val="000000"/>
                <w:sz w:val="24"/>
                <w:highlight w:val="none"/>
              </w:rPr>
            </w:r>
            <w:r/>
          </w:p>
        </w:tc>
        <w:tc>
          <w:tcPr>
            <w:tcW w:w="1875" w:type="dxa"/>
            <w:vAlign w:val="center"/>
            <w:textDirection w:val="lrTb"/>
            <w:noWrap w:val="false"/>
          </w:tcPr>
          <w:p>
            <w:pPr>
              <w:pStyle w:val="1005"/>
              <w:jc w:val="center"/>
              <w:rPr>
                <w:color w:val="000000"/>
                <w:sz w:val="24"/>
                <w:highlight w:val="none"/>
              </w:rPr>
            </w:pPr>
            <w:r>
              <w:rPr>
                <w:color w:val="000000"/>
                <w:sz w:val="24"/>
                <w:highlight w:val="none"/>
              </w:rPr>
            </w:r>
            <w:r/>
          </w:p>
        </w:tc>
        <w:tc>
          <w:tcPr>
            <w:tcW w:w="1009" w:type="dxa"/>
            <w:vAlign w:val="center"/>
            <w:textDirection w:val="lrTb"/>
            <w:noWrap w:val="false"/>
          </w:tcPr>
          <w:p>
            <w:pPr>
              <w:pStyle w:val="100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05"/>
              <w:jc w:val="center"/>
              <w:rPr>
                <w:color w:val="000000"/>
                <w:sz w:val="24"/>
                <w:highlight w:val="none"/>
              </w:rPr>
            </w:pPr>
            <w:r>
              <w:rPr>
                <w:color w:val="000000"/>
                <w:sz w:val="24"/>
                <w:highlight w:val="none"/>
              </w:rPr>
            </w:r>
            <w:r/>
          </w:p>
        </w:tc>
        <w:tc>
          <w:tcPr>
            <w:tcW w:w="1482" w:type="dxa"/>
            <w:vAlign w:val="center"/>
            <w:textDirection w:val="lrTb"/>
            <w:noWrap w:val="false"/>
          </w:tcPr>
          <w:p>
            <w:pPr>
              <w:pStyle w:val="1005"/>
              <w:jc w:val="center"/>
              <w:rPr>
                <w:color w:val="000000"/>
                <w:sz w:val="24"/>
                <w:highlight w:val="none"/>
              </w:rPr>
            </w:pPr>
            <w:r>
              <w:rPr>
                <w:color w:val="000000"/>
                <w:sz w:val="24"/>
                <w:highlight w:val="none"/>
              </w:rPr>
            </w:r>
            <w:r/>
          </w:p>
        </w:tc>
        <w:tc>
          <w:tcPr>
            <w:tcW w:w="2384" w:type="dxa"/>
            <w:vAlign w:val="center"/>
            <w:textDirection w:val="lrTb"/>
            <w:noWrap w:val="false"/>
          </w:tcPr>
          <w:p>
            <w:pPr>
              <w:pStyle w:val="1005"/>
              <w:jc w:val="center"/>
              <w:rPr>
                <w:color w:val="000000"/>
                <w:sz w:val="24"/>
                <w:highlight w:val="none"/>
              </w:rPr>
            </w:pPr>
            <w:r>
              <w:rPr>
                <w:color w:val="000000"/>
                <w:sz w:val="24"/>
                <w:highlight w:val="none"/>
              </w:rPr>
            </w:r>
            <w:r/>
          </w:p>
        </w:tc>
        <w:tc>
          <w:tcPr>
            <w:tcW w:w="2126" w:type="dxa"/>
            <w:vAlign w:val="center"/>
            <w:textDirection w:val="lrTb"/>
            <w:noWrap w:val="false"/>
          </w:tcPr>
          <w:p>
            <w:pPr>
              <w:pStyle w:val="1005"/>
              <w:jc w:val="center"/>
              <w:rPr>
                <w:color w:val="000000"/>
                <w:sz w:val="24"/>
                <w:highlight w:val="none"/>
              </w:rPr>
            </w:pPr>
            <w:r>
              <w:rPr>
                <w:color w:val="000000"/>
                <w:sz w:val="24"/>
                <w:highlight w:val="none"/>
              </w:rPr>
            </w:r>
            <w:r/>
          </w:p>
        </w:tc>
        <w:tc>
          <w:tcPr>
            <w:tcW w:w="1875" w:type="dxa"/>
            <w:vAlign w:val="center"/>
            <w:textDirection w:val="lrTb"/>
            <w:noWrap w:val="false"/>
          </w:tcPr>
          <w:p>
            <w:pPr>
              <w:pStyle w:val="1005"/>
              <w:jc w:val="center"/>
              <w:rPr>
                <w:color w:val="000000"/>
                <w:sz w:val="24"/>
                <w:highlight w:val="none"/>
              </w:rPr>
            </w:pPr>
            <w:r>
              <w:rPr>
                <w:color w:val="000000"/>
                <w:sz w:val="24"/>
                <w:highlight w:val="none"/>
              </w:rPr>
            </w:r>
            <w:r/>
          </w:p>
        </w:tc>
        <w:tc>
          <w:tcPr>
            <w:tcW w:w="1009" w:type="dxa"/>
            <w:vAlign w:val="center"/>
            <w:textDirection w:val="lrTb"/>
            <w:noWrap w:val="false"/>
          </w:tcPr>
          <w:p>
            <w:pPr>
              <w:pStyle w:val="100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05"/>
              <w:jc w:val="center"/>
              <w:rPr>
                <w:color w:val="000000"/>
                <w:sz w:val="24"/>
                <w:highlight w:val="none"/>
              </w:rPr>
            </w:pPr>
            <w:r>
              <w:rPr>
                <w:color w:val="000000"/>
                <w:sz w:val="24"/>
                <w:highlight w:val="none"/>
              </w:rPr>
            </w:r>
            <w:r/>
          </w:p>
        </w:tc>
        <w:tc>
          <w:tcPr>
            <w:tcW w:w="1482" w:type="dxa"/>
            <w:vAlign w:val="center"/>
            <w:textDirection w:val="lrTb"/>
            <w:noWrap w:val="false"/>
          </w:tcPr>
          <w:p>
            <w:pPr>
              <w:pStyle w:val="1005"/>
              <w:jc w:val="center"/>
              <w:rPr>
                <w:color w:val="000000"/>
                <w:sz w:val="24"/>
                <w:highlight w:val="none"/>
              </w:rPr>
            </w:pPr>
            <w:r>
              <w:rPr>
                <w:color w:val="000000"/>
                <w:sz w:val="24"/>
                <w:highlight w:val="none"/>
              </w:rPr>
            </w:r>
            <w:r/>
          </w:p>
        </w:tc>
        <w:tc>
          <w:tcPr>
            <w:tcW w:w="2384" w:type="dxa"/>
            <w:vAlign w:val="center"/>
            <w:textDirection w:val="lrTb"/>
            <w:noWrap w:val="false"/>
          </w:tcPr>
          <w:p>
            <w:pPr>
              <w:pStyle w:val="1005"/>
              <w:jc w:val="center"/>
              <w:rPr>
                <w:color w:val="000000"/>
                <w:sz w:val="24"/>
                <w:highlight w:val="none"/>
              </w:rPr>
            </w:pPr>
            <w:r>
              <w:rPr>
                <w:color w:val="000000"/>
                <w:sz w:val="24"/>
                <w:highlight w:val="none"/>
              </w:rPr>
            </w:r>
            <w:r/>
          </w:p>
        </w:tc>
        <w:tc>
          <w:tcPr>
            <w:tcW w:w="2126" w:type="dxa"/>
            <w:vAlign w:val="center"/>
            <w:textDirection w:val="lrTb"/>
            <w:noWrap w:val="false"/>
          </w:tcPr>
          <w:p>
            <w:pPr>
              <w:pStyle w:val="1005"/>
              <w:jc w:val="center"/>
              <w:rPr>
                <w:color w:val="000000"/>
                <w:sz w:val="24"/>
                <w:highlight w:val="none"/>
              </w:rPr>
            </w:pPr>
            <w:r>
              <w:rPr>
                <w:color w:val="000000"/>
                <w:sz w:val="24"/>
                <w:highlight w:val="none"/>
              </w:rPr>
            </w:r>
            <w:r/>
          </w:p>
        </w:tc>
        <w:tc>
          <w:tcPr>
            <w:tcW w:w="1875" w:type="dxa"/>
            <w:vAlign w:val="center"/>
            <w:textDirection w:val="lrTb"/>
            <w:noWrap w:val="false"/>
          </w:tcPr>
          <w:p>
            <w:pPr>
              <w:pStyle w:val="1005"/>
              <w:jc w:val="center"/>
              <w:rPr>
                <w:color w:val="000000"/>
                <w:sz w:val="24"/>
                <w:highlight w:val="none"/>
              </w:rPr>
            </w:pPr>
            <w:r>
              <w:rPr>
                <w:color w:val="000000"/>
                <w:sz w:val="24"/>
                <w:highlight w:val="none"/>
              </w:rPr>
            </w:r>
            <w:r/>
          </w:p>
        </w:tc>
        <w:tc>
          <w:tcPr>
            <w:tcW w:w="1009" w:type="dxa"/>
            <w:vAlign w:val="center"/>
            <w:textDirection w:val="lrTb"/>
            <w:noWrap w:val="false"/>
          </w:tcPr>
          <w:p>
            <w:pPr>
              <w:pStyle w:val="100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05"/>
              <w:jc w:val="center"/>
              <w:rPr>
                <w:color w:val="000000"/>
                <w:sz w:val="24"/>
                <w:highlight w:val="none"/>
              </w:rPr>
            </w:pPr>
            <w:r>
              <w:rPr>
                <w:color w:val="000000"/>
                <w:sz w:val="24"/>
                <w:highlight w:val="none"/>
              </w:rPr>
            </w:r>
            <w:r/>
          </w:p>
        </w:tc>
        <w:tc>
          <w:tcPr>
            <w:tcW w:w="1482" w:type="dxa"/>
            <w:vAlign w:val="center"/>
            <w:textDirection w:val="lrTb"/>
            <w:noWrap w:val="false"/>
          </w:tcPr>
          <w:p>
            <w:pPr>
              <w:pStyle w:val="1005"/>
              <w:jc w:val="center"/>
              <w:rPr>
                <w:color w:val="000000"/>
                <w:sz w:val="24"/>
                <w:highlight w:val="none"/>
              </w:rPr>
            </w:pPr>
            <w:r>
              <w:rPr>
                <w:color w:val="000000"/>
                <w:sz w:val="24"/>
                <w:highlight w:val="none"/>
              </w:rPr>
            </w:r>
            <w:r/>
          </w:p>
        </w:tc>
        <w:tc>
          <w:tcPr>
            <w:tcW w:w="2384" w:type="dxa"/>
            <w:vAlign w:val="center"/>
            <w:textDirection w:val="lrTb"/>
            <w:noWrap w:val="false"/>
          </w:tcPr>
          <w:p>
            <w:pPr>
              <w:pStyle w:val="1005"/>
              <w:jc w:val="center"/>
              <w:rPr>
                <w:color w:val="000000"/>
                <w:sz w:val="24"/>
                <w:highlight w:val="none"/>
              </w:rPr>
            </w:pPr>
            <w:r>
              <w:rPr>
                <w:color w:val="000000"/>
                <w:sz w:val="24"/>
                <w:highlight w:val="none"/>
              </w:rPr>
            </w:r>
            <w:r/>
          </w:p>
        </w:tc>
        <w:tc>
          <w:tcPr>
            <w:tcW w:w="2126" w:type="dxa"/>
            <w:vAlign w:val="center"/>
            <w:textDirection w:val="lrTb"/>
            <w:noWrap w:val="false"/>
          </w:tcPr>
          <w:p>
            <w:pPr>
              <w:pStyle w:val="1005"/>
              <w:jc w:val="center"/>
              <w:rPr>
                <w:color w:val="000000"/>
                <w:sz w:val="24"/>
                <w:highlight w:val="none"/>
              </w:rPr>
            </w:pPr>
            <w:r>
              <w:rPr>
                <w:color w:val="000000"/>
                <w:sz w:val="24"/>
                <w:highlight w:val="none"/>
              </w:rPr>
            </w:r>
            <w:r/>
          </w:p>
        </w:tc>
        <w:tc>
          <w:tcPr>
            <w:tcW w:w="1875" w:type="dxa"/>
            <w:vAlign w:val="center"/>
            <w:textDirection w:val="lrTb"/>
            <w:noWrap w:val="false"/>
          </w:tcPr>
          <w:p>
            <w:pPr>
              <w:pStyle w:val="1005"/>
              <w:jc w:val="center"/>
              <w:rPr>
                <w:color w:val="000000"/>
                <w:sz w:val="24"/>
                <w:highlight w:val="none"/>
              </w:rPr>
            </w:pPr>
            <w:r>
              <w:rPr>
                <w:color w:val="000000"/>
                <w:sz w:val="24"/>
                <w:highlight w:val="none"/>
              </w:rPr>
            </w:r>
            <w:r/>
          </w:p>
        </w:tc>
        <w:tc>
          <w:tcPr>
            <w:tcW w:w="1009" w:type="dxa"/>
            <w:vAlign w:val="center"/>
            <w:textDirection w:val="lrTb"/>
            <w:noWrap w:val="false"/>
          </w:tcPr>
          <w:p>
            <w:pPr>
              <w:pStyle w:val="100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05"/>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1005"/>
              <w:jc w:val="center"/>
              <w:rPr>
                <w:color w:val="000000"/>
                <w:sz w:val="24"/>
                <w:highlight w:val="none"/>
              </w:rPr>
            </w:pPr>
            <w:r>
              <w:rPr>
                <w:color w:val="000000"/>
                <w:sz w:val="24"/>
                <w:highlight w:val="none"/>
              </w:rPr>
            </w:r>
            <w:r/>
          </w:p>
        </w:tc>
        <w:tc>
          <w:tcPr>
            <w:tcW w:w="2384" w:type="dxa"/>
            <w:vAlign w:val="center"/>
            <w:textDirection w:val="lrTb"/>
            <w:noWrap w:val="false"/>
          </w:tcPr>
          <w:p>
            <w:pPr>
              <w:pStyle w:val="1005"/>
              <w:jc w:val="center"/>
              <w:rPr>
                <w:color w:val="000000"/>
                <w:sz w:val="24"/>
                <w:highlight w:val="none"/>
              </w:rPr>
            </w:pPr>
            <w:r>
              <w:rPr>
                <w:color w:val="000000"/>
                <w:sz w:val="24"/>
                <w:highlight w:val="none"/>
              </w:rPr>
            </w:r>
            <w:r/>
          </w:p>
        </w:tc>
        <w:tc>
          <w:tcPr>
            <w:tcW w:w="2126" w:type="dxa"/>
            <w:vAlign w:val="center"/>
            <w:textDirection w:val="lrTb"/>
            <w:noWrap w:val="false"/>
          </w:tcPr>
          <w:p>
            <w:pPr>
              <w:pStyle w:val="1005"/>
              <w:jc w:val="center"/>
              <w:rPr>
                <w:color w:val="000000"/>
                <w:sz w:val="24"/>
                <w:highlight w:val="none"/>
              </w:rPr>
            </w:pPr>
            <w:r>
              <w:rPr>
                <w:color w:val="000000"/>
                <w:sz w:val="24"/>
                <w:highlight w:val="none"/>
              </w:rPr>
            </w:r>
            <w:r/>
          </w:p>
        </w:tc>
        <w:tc>
          <w:tcPr>
            <w:tcW w:w="1875" w:type="dxa"/>
            <w:vAlign w:val="center"/>
            <w:textDirection w:val="lrTb"/>
            <w:noWrap w:val="false"/>
          </w:tcPr>
          <w:p>
            <w:pPr>
              <w:pStyle w:val="1005"/>
              <w:jc w:val="center"/>
              <w:rPr>
                <w:color w:val="000000"/>
                <w:sz w:val="24"/>
                <w:highlight w:val="none"/>
              </w:rPr>
            </w:pPr>
            <w:r>
              <w:rPr>
                <w:color w:val="000000"/>
                <w:sz w:val="24"/>
                <w:highlight w:val="none"/>
              </w:rPr>
            </w:r>
            <w:r/>
          </w:p>
        </w:tc>
        <w:tc>
          <w:tcPr>
            <w:tcW w:w="1009" w:type="dxa"/>
            <w:vAlign w:val="center"/>
            <w:textDirection w:val="lrTb"/>
            <w:noWrap w:val="false"/>
          </w:tcPr>
          <w:p>
            <w:pPr>
              <w:pStyle w:val="1005"/>
              <w:jc w:val="center"/>
              <w:rPr>
                <w:color w:val="000000"/>
                <w:sz w:val="24"/>
                <w:highlight w:val="none"/>
              </w:rPr>
            </w:pPr>
            <w:r>
              <w:rPr>
                <w:color w:val="000000"/>
                <w:sz w:val="24"/>
                <w:highlight w:val="none"/>
              </w:rPr>
            </w:r>
            <w:r/>
          </w:p>
        </w:tc>
      </w:tr>
    </w:tbl>
    <w:p>
      <w:pPr>
        <w:pStyle w:val="1005"/>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0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05"/>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1005"/>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lang w:eastAsia="zh-CN"/>
        </w:rPr>
        <w:t xml:space="preserve">“</w:t>
      </w:r>
      <w:r>
        <w:rPr>
          <w:rFonts w:hint="eastAsia"/>
          <w:color w:val="000000"/>
          <w:sz w:val="24"/>
          <w:highlight w:val="none"/>
        </w:rPr>
        <w:t xml:space="preserve">偏离情况</w:t>
      </w:r>
      <w:r>
        <w:rPr>
          <w:rFonts w:hint="eastAsia"/>
          <w:color w:val="000000"/>
          <w:sz w:val="24"/>
          <w:highlight w:val="none"/>
          <w:lang w:eastAsia="zh-CN"/>
        </w:rPr>
        <w:t xml:space="preserve">”</w:t>
      </w:r>
      <w:r>
        <w:rPr>
          <w:rFonts w:hint="eastAsia"/>
          <w:color w:val="000000"/>
          <w:sz w:val="24"/>
          <w:highlight w:val="none"/>
        </w:rPr>
        <w:t xml:space="preserve">列应</w:t>
      </w:r>
      <w:r>
        <w:rPr>
          <w:color w:val="000000"/>
          <w:sz w:val="24"/>
          <w:highlight w:val="none"/>
        </w:rPr>
        <w:t xml:space="preserve">据实</w:t>
      </w:r>
      <w:r>
        <w:rPr>
          <w:rFonts w:hint="eastAsia"/>
          <w:color w:val="000000"/>
          <w:sz w:val="24"/>
          <w:highlight w:val="none"/>
        </w:rPr>
        <w:t xml:space="preserve">填写</w:t>
      </w:r>
      <w:r>
        <w:rPr>
          <w:rFonts w:hint="eastAsia"/>
          <w:color w:val="000000"/>
          <w:sz w:val="24"/>
          <w:highlight w:val="none"/>
          <w:lang w:eastAsia="zh-CN"/>
        </w:rPr>
        <w:t xml:space="preserve">“</w:t>
      </w:r>
      <w:r>
        <w:rPr>
          <w:rFonts w:hint="eastAsia"/>
          <w:color w:val="000000"/>
          <w:sz w:val="24"/>
          <w:highlight w:val="none"/>
        </w:rPr>
        <w:t xml:space="preserve">无偏离</w:t>
      </w:r>
      <w:r>
        <w:rPr>
          <w:rFonts w:hint="eastAsia"/>
          <w:color w:val="000000"/>
          <w:sz w:val="24"/>
          <w:highlight w:val="none"/>
          <w:lang w:eastAsia="zh-CN"/>
        </w:rPr>
        <w:t xml:space="preserve">”</w:t>
      </w:r>
      <w:r>
        <w:rPr>
          <w:rFonts w:hint="eastAsia"/>
          <w:color w:val="000000"/>
          <w:sz w:val="24"/>
          <w:highlight w:val="none"/>
        </w:rPr>
        <w:t xml:space="preserve">、</w:t>
      </w:r>
      <w:r>
        <w:rPr>
          <w:rFonts w:hint="eastAsia"/>
          <w:color w:val="000000"/>
          <w:sz w:val="24"/>
          <w:highlight w:val="none"/>
          <w:lang w:eastAsia="zh-CN"/>
        </w:rPr>
        <w:t xml:space="preserve">“</w:t>
      </w:r>
      <w:r>
        <w:rPr>
          <w:rFonts w:hint="eastAsia"/>
          <w:color w:val="000000"/>
          <w:sz w:val="24"/>
          <w:highlight w:val="none"/>
        </w:rPr>
        <w:t xml:space="preserve">正偏离</w:t>
      </w:r>
      <w:r>
        <w:rPr>
          <w:rFonts w:hint="eastAsia"/>
          <w:color w:val="000000"/>
          <w:sz w:val="24"/>
          <w:highlight w:val="none"/>
          <w:lang w:eastAsia="zh-CN"/>
        </w:rPr>
        <w:t xml:space="preserve">”</w:t>
      </w:r>
      <w:r>
        <w:rPr>
          <w:rFonts w:hint="eastAsia"/>
          <w:color w:val="000000"/>
          <w:sz w:val="24"/>
          <w:highlight w:val="none"/>
        </w:rPr>
        <w:t xml:space="preserve">或</w:t>
      </w:r>
      <w:r>
        <w:rPr>
          <w:rFonts w:hint="eastAsia"/>
          <w:color w:val="000000"/>
          <w:sz w:val="24"/>
          <w:highlight w:val="none"/>
          <w:lang w:eastAsia="zh-CN"/>
        </w:rPr>
        <w:t xml:space="preserve">“</w:t>
      </w:r>
      <w:r>
        <w:rPr>
          <w:rFonts w:hint="eastAsia"/>
          <w:color w:val="000000"/>
          <w:sz w:val="24"/>
          <w:highlight w:val="none"/>
        </w:rPr>
        <w:t xml:space="preserve">负偏离</w:t>
      </w:r>
      <w:r>
        <w:rPr>
          <w:rFonts w:hint="eastAsia"/>
          <w:color w:val="000000"/>
          <w:sz w:val="24"/>
          <w:highlight w:val="none"/>
          <w:lang w:eastAsia="zh-CN"/>
        </w:rPr>
        <w:t xml:space="preserve">”</w:t>
      </w:r>
      <w:r>
        <w:rPr>
          <w:rFonts w:hint="eastAsia"/>
          <w:color w:val="000000"/>
          <w:sz w:val="24"/>
          <w:highlight w:val="none"/>
        </w:rPr>
        <w:t xml:space="preserve">。</w:t>
      </w:r>
      <w:r>
        <w:rPr>
          <w:color w:val="000000"/>
          <w:sz w:val="24"/>
          <w:highlight w:val="none"/>
        </w:rPr>
      </w:r>
      <w:r/>
    </w:p>
    <w:p>
      <w:pPr>
        <w:pStyle w:val="1005"/>
        <w:jc w:val="left"/>
        <w:tabs>
          <w:tab w:val="left" w:pos="1800" w:leader="none"/>
          <w:tab w:val="left" w:pos="5580" w:leader="none"/>
        </w:tabs>
        <w:rPr>
          <w:color w:val="000000"/>
          <w:sz w:val="24"/>
          <w:highlight w:val="none"/>
        </w:rPr>
      </w:pPr>
      <w:r>
        <w:rPr>
          <w:color w:val="000000"/>
          <w:sz w:val="24"/>
          <w:highlight w:val="none"/>
        </w:rPr>
      </w:r>
      <w:r/>
    </w:p>
    <w:p>
      <w:pPr>
        <w:pStyle w:val="1005"/>
        <w:jc w:val="left"/>
        <w:tabs>
          <w:tab w:val="left" w:pos="1800" w:leader="none"/>
          <w:tab w:val="left" w:pos="5580" w:leader="none"/>
        </w:tabs>
        <w:rPr>
          <w:color w:val="000000"/>
          <w:sz w:val="24"/>
          <w:highlight w:val="none"/>
        </w:rPr>
      </w:pPr>
      <w:r>
        <w:rPr>
          <w:color w:val="000000"/>
          <w:sz w:val="24"/>
          <w:highlight w:val="none"/>
        </w:rPr>
      </w:r>
      <w:r/>
    </w:p>
    <w:p>
      <w:pPr>
        <w:pStyle w:val="1005"/>
        <w:rPr>
          <w:color w:val="000000"/>
          <w:sz w:val="24"/>
          <w:szCs w:val="20"/>
          <w:highlight w:val="none"/>
        </w:rPr>
      </w:pPr>
      <w:r>
        <w:rPr>
          <w:color w:val="000000"/>
          <w:sz w:val="24"/>
          <w:szCs w:val="20"/>
          <w:highlight w:val="none"/>
        </w:rPr>
      </w:r>
      <w:r/>
    </w:p>
    <w:p>
      <w:pPr>
        <w:pStyle w:val="1005"/>
        <w:spacing w:before="25" w:after="25" w:line="360" w:lineRule="auto"/>
        <w:rPr>
          <w:color w:val="000000"/>
          <w:sz w:val="24"/>
          <w:highlight w:val="none"/>
          <w:lang w:val="zh-CN"/>
        </w:rPr>
      </w:pPr>
      <w:r>
        <w:rPr>
          <w:color w:val="000000"/>
          <w:sz w:val="24"/>
          <w:highlight w:val="none"/>
          <w:lang w:val="zh-CN"/>
        </w:rPr>
      </w:r>
      <w:r/>
    </w:p>
    <w:p>
      <w:pPr>
        <w:pStyle w:val="100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w:t>
      </w:r>
      <w:r>
        <w:rPr>
          <w:color w:val="000000"/>
          <w:sz w:val="24"/>
          <w:highlight w:val="none"/>
          <w:u w:val="single"/>
          <w:lang w:val="zh-CN"/>
        </w:rPr>
        <w:t xml:space="preserve">   </w:t>
      </w:r>
      <w:r>
        <w:rPr>
          <w:rFonts w:hint="eastAsia"/>
          <w:color w:val="000000"/>
          <w:sz w:val="24"/>
          <w:highlight w:val="none"/>
          <w:u w:val="single"/>
        </w:rPr>
        <w:t xml:space="preserve">             </w:t>
      </w:r>
      <w:r>
        <w:rPr>
          <w:color w:val="000000"/>
          <w:sz w:val="24"/>
          <w:highlight w:val="none"/>
          <w:u w:val="single"/>
          <w:lang w:val="zh-CN"/>
        </w:rPr>
        <w:t xml:space="preserve"> </w:t>
      </w:r>
      <w:r>
        <w:rPr>
          <w:rFonts w:hint="eastAsia"/>
          <w:color w:val="000000"/>
          <w:sz w:val="24"/>
          <w:highlight w:val="none"/>
          <w:u w:val="single"/>
        </w:rPr>
        <w:t xml:space="preserve"> </w:t>
      </w:r>
      <w:r>
        <w:rPr>
          <w:color w:val="000000"/>
          <w:sz w:val="24"/>
          <w:highlight w:val="none"/>
          <w:lang w:val="zh-CN"/>
        </w:rPr>
      </w:r>
      <w:r/>
    </w:p>
    <w:p>
      <w:pPr>
        <w:pStyle w:val="1005"/>
        <w:spacing w:before="25" w:after="25" w:line="360" w:lineRule="auto"/>
        <w:rPr>
          <w:color w:val="000000"/>
          <w:sz w:val="24"/>
          <w:highlight w:val="none"/>
          <w:lang w:val="zh-CN"/>
        </w:rPr>
      </w:pPr>
      <w:r>
        <w:rPr>
          <w:color w:val="000000"/>
          <w:sz w:val="24"/>
          <w:szCs w:val="20"/>
          <w:highlight w:val="none"/>
        </w:rPr>
        <w:t xml:space="preserve">日期：_____年_____月_____日</w:t>
      </w:r>
      <w:r>
        <w:rPr>
          <w:color w:val="000000"/>
          <w:sz w:val="24"/>
          <w:highlight w:val="none"/>
          <w:lang w:val="zh-CN"/>
        </w:rPr>
      </w:r>
      <w:r/>
    </w:p>
    <w:p>
      <w:pPr>
        <w:pStyle w:val="1005"/>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005"/>
        <w:spacing w:line="360" w:lineRule="auto"/>
        <w:rPr>
          <w:color w:val="000000"/>
          <w:sz w:val="24"/>
          <w:szCs w:val="20"/>
          <w:highlight w:val="none"/>
        </w:rPr>
        <w:outlineLvl w:val="2"/>
      </w:pPr>
      <w:r>
        <w:rPr>
          <w:rFonts w:hint="eastAsia"/>
          <w:color w:val="000000"/>
          <w:sz w:val="24"/>
          <w:szCs w:val="20"/>
          <w:highlight w:val="none"/>
        </w:rPr>
        <w:t xml:space="preserve">7</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1005"/>
        <w:ind w:firstLine="480"/>
        <w:spacing w:line="560" w:lineRule="exact"/>
        <w:rPr>
          <w:rFonts w:hint="eastAsia"/>
          <w:color w:val="000000"/>
          <w:sz w:val="24"/>
          <w:szCs w:val="20"/>
          <w:highlight w:val="none"/>
        </w:rPr>
      </w:pPr>
      <w:r>
        <w:rPr>
          <w:rFonts w:hint="eastAsia"/>
          <w:color w:val="000000"/>
          <w:sz w:val="24"/>
          <w:szCs w:val="20"/>
          <w:highlight w:val="none"/>
        </w:rPr>
        <w:t xml:space="preserve">1）项目理解和实施方案；</w:t>
      </w:r>
      <w:r>
        <w:rPr>
          <w:rFonts w:hint="eastAsia"/>
          <w:color w:val="000000"/>
          <w:sz w:val="24"/>
          <w:szCs w:val="20"/>
          <w:highlight w:val="none"/>
        </w:rPr>
      </w:r>
      <w:r/>
    </w:p>
    <w:p>
      <w:pPr>
        <w:pStyle w:val="1005"/>
        <w:ind w:firstLine="480"/>
        <w:spacing w:line="560" w:lineRule="exact"/>
        <w:rPr>
          <w:rFonts w:hint="eastAsia"/>
          <w:color w:val="000000"/>
          <w:sz w:val="24"/>
          <w:szCs w:val="20"/>
          <w:highlight w:val="none"/>
        </w:rPr>
      </w:pPr>
      <w:r>
        <w:rPr>
          <w:rFonts w:hint="eastAsia"/>
          <w:color w:val="000000"/>
          <w:sz w:val="24"/>
          <w:szCs w:val="20"/>
          <w:highlight w:val="none"/>
        </w:rPr>
        <w:t xml:space="preserve">2）重点难点分析及解决方案；</w:t>
      </w:r>
      <w:r>
        <w:rPr>
          <w:rFonts w:hint="eastAsia"/>
          <w:color w:val="000000"/>
          <w:sz w:val="24"/>
          <w:szCs w:val="20"/>
          <w:highlight w:val="none"/>
        </w:rPr>
      </w:r>
      <w:r/>
    </w:p>
    <w:p>
      <w:pPr>
        <w:pStyle w:val="1005"/>
        <w:ind w:firstLine="480"/>
        <w:spacing w:line="560" w:lineRule="exact"/>
        <w:rPr>
          <w:rFonts w:hint="eastAsia"/>
          <w:color w:val="000000"/>
          <w:sz w:val="24"/>
          <w:szCs w:val="20"/>
          <w:highlight w:val="none"/>
        </w:rPr>
      </w:pPr>
      <w:r>
        <w:rPr>
          <w:rFonts w:hint="eastAsia"/>
          <w:color w:val="000000"/>
          <w:sz w:val="24"/>
          <w:szCs w:val="20"/>
          <w:highlight w:val="none"/>
        </w:rPr>
        <w:t xml:space="preserve">3）应急预案；</w:t>
      </w:r>
      <w:r>
        <w:rPr>
          <w:rFonts w:hint="eastAsia"/>
          <w:color w:val="000000"/>
          <w:sz w:val="24"/>
          <w:szCs w:val="20"/>
          <w:highlight w:val="none"/>
        </w:rPr>
      </w:r>
      <w:r/>
    </w:p>
    <w:p>
      <w:pPr>
        <w:pStyle w:val="1005"/>
        <w:ind w:firstLine="480"/>
        <w:spacing w:line="560" w:lineRule="exact"/>
        <w:rPr>
          <w:color w:val="000000"/>
          <w:sz w:val="24"/>
          <w:szCs w:val="20"/>
          <w:highlight w:val="none"/>
        </w:rPr>
      </w:pPr>
      <w:r>
        <w:rPr>
          <w:rFonts w:hint="eastAsia"/>
          <w:color w:val="000000"/>
          <w:sz w:val="24"/>
          <w:szCs w:val="20"/>
          <w:highlight w:val="none"/>
        </w:rPr>
        <w:t xml:space="preserve">4）其他。</w:t>
      </w:r>
      <w:r>
        <w:rPr>
          <w:color w:val="000000"/>
          <w:sz w:val="24"/>
          <w:szCs w:val="20"/>
          <w:highlight w:val="none"/>
        </w:rPr>
      </w:r>
      <w:r/>
    </w:p>
    <w:p>
      <w:pPr>
        <w:pStyle w:val="1005"/>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005"/>
        <w:spacing w:line="360" w:lineRule="auto"/>
        <w:rPr>
          <w:color w:val="000000"/>
          <w:sz w:val="24"/>
          <w:szCs w:val="20"/>
          <w:highlight w:val="none"/>
        </w:rPr>
        <w:outlineLvl w:val="2"/>
      </w:pPr>
      <w:r>
        <w:rPr>
          <w:rFonts w:hint="eastAsia"/>
          <w:color w:val="000000"/>
          <w:sz w:val="24"/>
          <w:szCs w:val="20"/>
          <w:highlight w:val="none"/>
        </w:rPr>
        <w:t xml:space="preserve">9  参加本项目人员一览表</w:t>
      </w:r>
      <w:r>
        <w:rPr>
          <w:color w:val="000000"/>
          <w:sz w:val="24"/>
          <w:szCs w:val="20"/>
          <w:highlight w:val="none"/>
        </w:rPr>
      </w:r>
      <w:r/>
    </w:p>
    <w:p>
      <w:pPr>
        <w:pStyle w:val="100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05"/>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JSZC-320400-JSZG-G2025-0131</w:t>
      </w:r>
      <w:r>
        <w:rPr>
          <w:rFonts w:hint="eastAsia" w:ascii="宋体" w:hAnsi="宋体" w:eastAsia="宋体" w:cs="宋体"/>
          <w:color w:val="000000"/>
          <w:sz w:val="24"/>
          <w:highlight w:val="none"/>
          <w:lang w:eastAsia="zh-CN"/>
        </w:rPr>
      </w:r>
      <w:r/>
    </w:p>
    <w:p>
      <w:pPr>
        <w:pStyle w:val="1005"/>
        <w:spacing w:line="360" w:lineRule="auto"/>
        <w:rPr>
          <w:rFonts w:hint="eastAsia" w:ascii="宋体" w:hAnsi="宋体" w:eastAsia="宋体" w:cs="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2026年度净水站运维社会化服务</w:t>
      </w:r>
      <w:r>
        <w:rPr>
          <w:rFonts w:hint="eastAsia" w:ascii="宋体" w:hAnsi="宋体" w:eastAsia="宋体" w:cs="宋体"/>
          <w:color w:val="000000"/>
          <w:sz w:val="24"/>
          <w:highlight w:val="none"/>
          <w:lang w:eastAsia="zh-CN"/>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05"/>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05"/>
        <w:spacing w:line="360" w:lineRule="auto"/>
        <w:tabs>
          <w:tab w:val="left" w:pos="9765" w:leader="none"/>
        </w:tabs>
        <w:rPr>
          <w:rFonts w:hint="eastAsia" w:ascii="宋体" w:hAnsi="宋体" w:cs="宋体"/>
          <w:b/>
          <w:color w:val="000000"/>
          <w:sz w:val="24"/>
          <w:highlight w:val="none"/>
        </w:rPr>
      </w:pPr>
      <w:r>
        <w:rPr>
          <w:rFonts w:hint="eastAsia" w:ascii="宋体" w:hAnsi="宋体" w:cs="宋体"/>
          <w:b/>
          <w:color w:val="000000"/>
          <w:sz w:val="24"/>
          <w:highlight w:val="none"/>
          <w:lang w:val="zh-CN"/>
        </w:rPr>
        <w:t xml:space="preserve">注：</w:t>
      </w:r>
      <w:r>
        <w:rPr>
          <w:rFonts w:hint="eastAsia" w:ascii="宋体" w:hAnsi="宋体" w:cs="宋体"/>
          <w:b/>
          <w:color w:val="000000"/>
          <w:sz w:val="24"/>
          <w:highlight w:val="none"/>
        </w:rPr>
        <w:t xml:space="preserve">1.人员证书及社保证明采购可附于本表下方；</w:t>
      </w:r>
      <w:r>
        <w:rPr>
          <w:rFonts w:hint="eastAsia" w:ascii="宋体" w:hAnsi="宋体" w:cs="宋体"/>
          <w:b/>
          <w:color w:val="000000"/>
          <w:sz w:val="24"/>
          <w:highlight w:val="none"/>
        </w:rPr>
      </w:r>
      <w:r/>
    </w:p>
    <w:p>
      <w:pPr>
        <w:pStyle w:val="1005"/>
        <w:ind w:firstLine="482"/>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zh-CN"/>
        </w:rPr>
        <w:t xml:space="preserve">参加本项目人员须是投标人正式职工。</w:t>
      </w:r>
      <w:r>
        <w:rPr>
          <w:rFonts w:hint="eastAsia" w:ascii="宋体" w:hAnsi="宋体" w:cs="宋体"/>
          <w:b/>
          <w:color w:val="000000"/>
          <w:sz w:val="24"/>
          <w:highlight w:val="none"/>
          <w:lang w:val="zh-CN"/>
        </w:rPr>
      </w:r>
      <w:r/>
    </w:p>
    <w:p>
      <w:pPr>
        <w:pStyle w:val="1005"/>
        <w:spacing w:before="25" w:after="25" w:line="360" w:lineRule="auto"/>
        <w:rPr>
          <w:color w:val="000000"/>
          <w:sz w:val="24"/>
          <w:highlight w:val="none"/>
        </w:rPr>
      </w:pPr>
      <w:r>
        <w:rPr>
          <w:color w:val="000000"/>
          <w:sz w:val="24"/>
          <w:highlight w:val="none"/>
        </w:rPr>
      </w:r>
      <w:r/>
    </w:p>
    <w:p>
      <w:pPr>
        <w:pStyle w:val="100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w:t>
      </w:r>
      <w:r>
        <w:rPr>
          <w:color w:val="000000"/>
          <w:sz w:val="24"/>
          <w:highlight w:val="none"/>
          <w:u w:val="single"/>
          <w:lang w:val="zh-CN"/>
        </w:rPr>
        <w:t xml:space="preserve">   </w:t>
      </w:r>
      <w:r>
        <w:rPr>
          <w:rFonts w:hint="eastAsia"/>
          <w:color w:val="000000"/>
          <w:sz w:val="24"/>
          <w:highlight w:val="none"/>
          <w:u w:val="single"/>
        </w:rPr>
        <w:t xml:space="preserve">              </w:t>
      </w:r>
      <w:r>
        <w:rPr>
          <w:color w:val="000000"/>
          <w:sz w:val="24"/>
          <w:highlight w:val="none"/>
          <w:lang w:val="zh-CN"/>
        </w:rPr>
      </w:r>
      <w:r/>
    </w:p>
    <w:p>
      <w:pPr>
        <w:pStyle w:val="1005"/>
        <w:spacing w:before="25" w:after="25" w:line="360" w:lineRule="auto"/>
        <w:rPr>
          <w:color w:val="000000"/>
          <w:sz w:val="24"/>
          <w:highlight w:val="none"/>
          <w:lang w:val="zh-CN"/>
        </w:rPr>
      </w:pPr>
      <w:r>
        <w:rPr>
          <w:color w:val="000000"/>
          <w:sz w:val="24"/>
          <w:szCs w:val="20"/>
          <w:highlight w:val="none"/>
        </w:rPr>
        <w:t xml:space="preserve">日期：_____年_____月_____日</w:t>
      </w:r>
      <w:r>
        <w:rPr>
          <w:color w:val="000000"/>
          <w:sz w:val="24"/>
          <w:highlight w:val="none"/>
          <w:lang w:val="zh-CN"/>
        </w:rPr>
      </w:r>
      <w:r/>
    </w:p>
    <w:p>
      <w:pPr>
        <w:pStyle w:val="1005"/>
        <w:rPr>
          <w:rFonts w:hint="eastAsia"/>
          <w:color w:val="000000"/>
          <w:sz w:val="22"/>
          <w:highlight w:val="none"/>
        </w:rPr>
      </w:pPr>
      <w:r>
        <w:rPr>
          <w:color w:val="000000"/>
          <w:sz w:val="22"/>
          <w:highlight w:val="none"/>
        </w:rPr>
        <w:br w:type="page" w:clear="all"/>
      </w:r>
      <w:bookmarkStart w:id="912" w:name="_Toc288738839"/>
      <w:r/>
      <w:bookmarkStart w:id="913" w:name="_Toc288738397"/>
      <w:r>
        <w:rPr>
          <w:rFonts w:hint="eastAsia"/>
          <w:color w:val="000000"/>
          <w:sz w:val="22"/>
          <w:highlight w:val="none"/>
        </w:rPr>
      </w:r>
      <w:r/>
    </w:p>
    <w:p>
      <w:pPr>
        <w:pStyle w:val="1005"/>
        <w:spacing w:line="360" w:lineRule="auto"/>
        <w:rPr>
          <w:color w:val="000000"/>
          <w:sz w:val="24"/>
          <w:szCs w:val="20"/>
          <w:highlight w:val="none"/>
        </w:rPr>
        <w:outlineLvl w:val="2"/>
      </w:pPr>
      <w:r>
        <w:rPr>
          <w:rFonts w:hint="eastAsia"/>
          <w:color w:val="000000"/>
          <w:sz w:val="24"/>
          <w:szCs w:val="20"/>
          <w:highlight w:val="none"/>
        </w:rPr>
        <w:t xml:space="preserve">10  相关业绩案例一览表</w:t>
      </w:r>
      <w:r>
        <w:rPr>
          <w:color w:val="000000"/>
          <w:sz w:val="24"/>
          <w:szCs w:val="20"/>
          <w:highlight w:val="none"/>
        </w:rPr>
      </w:r>
      <w:r/>
    </w:p>
    <w:p>
      <w:pPr>
        <w:pStyle w:val="1005"/>
        <w:rPr>
          <w:color w:val="000000"/>
          <w:sz w:val="24"/>
          <w:szCs w:val="20"/>
          <w:highlight w:val="none"/>
        </w:rPr>
      </w:pPr>
      <w:r>
        <w:rPr>
          <w:color w:val="000000"/>
          <w:sz w:val="24"/>
          <w:szCs w:val="20"/>
          <w:highlight w:val="none"/>
        </w:rPr>
      </w:r>
      <w:r/>
    </w:p>
    <w:p>
      <w:pPr>
        <w:pStyle w:val="1005"/>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2"/>
      <w:r/>
      <w:bookmarkEnd w:id="913"/>
      <w:r>
        <w:rPr>
          <w:rFonts w:ascii="宋体" w:hAnsi="宋体"/>
          <w:b/>
          <w:color w:val="000000"/>
          <w:sz w:val="32"/>
          <w:szCs w:val="32"/>
          <w:highlight w:val="none"/>
        </w:rPr>
      </w:r>
      <w:r/>
    </w:p>
    <w:p>
      <w:pPr>
        <w:pStyle w:val="1005"/>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05"/>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JSZC-320400-JSZG-G2025-0131</w:t>
      </w:r>
      <w:r>
        <w:rPr>
          <w:rFonts w:hint="eastAsia" w:ascii="宋体" w:hAnsi="宋体" w:eastAsia="宋体" w:cs="宋体"/>
          <w:color w:val="000000"/>
          <w:sz w:val="24"/>
          <w:highlight w:val="none"/>
          <w:lang w:eastAsia="zh-CN"/>
        </w:rPr>
      </w:r>
      <w:r/>
    </w:p>
    <w:p>
      <w:pPr>
        <w:pStyle w:val="1005"/>
        <w:ind w:firstLine="480"/>
        <w:spacing w:line="360" w:lineRule="auto"/>
        <w:rPr>
          <w:rFonts w:hint="eastAsia" w:ascii="宋体" w:hAnsi="宋体" w:eastAsia="宋体" w:cs="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2026年度净水站运维社会化服务</w:t>
      </w:r>
      <w:r>
        <w:rPr>
          <w:rFonts w:hint="eastAsia" w:ascii="宋体" w:hAnsi="宋体" w:eastAsia="宋体" w:cs="宋体"/>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5"/>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5"/>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5"/>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5"/>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5"/>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5"/>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05"/>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05"/>
        <w:spacing w:line="360" w:lineRule="auto"/>
        <w:rPr>
          <w:rFonts w:ascii="宋体" w:hAnsi="宋体" w:cs="宋体"/>
          <w:color w:val="000000"/>
          <w:sz w:val="24"/>
          <w:highlight w:val="none"/>
        </w:rPr>
      </w:pPr>
      <w:r>
        <w:rPr>
          <w:rFonts w:ascii="宋体" w:hAnsi="宋体" w:cs="宋体"/>
          <w:color w:val="000000"/>
          <w:sz w:val="24"/>
          <w:highlight w:val="none"/>
        </w:rPr>
      </w:r>
      <w:r/>
    </w:p>
    <w:p>
      <w:pPr>
        <w:pStyle w:val="100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w:t>
      </w:r>
      <w:r>
        <w:rPr>
          <w:color w:val="000000"/>
          <w:sz w:val="24"/>
          <w:highlight w:val="none"/>
          <w:u w:val="single"/>
          <w:lang w:val="zh-CN"/>
        </w:rPr>
        <w:t xml:space="preserve">  </w:t>
      </w:r>
      <w:r>
        <w:rPr>
          <w:rFonts w:hint="eastAsia"/>
          <w:color w:val="000000"/>
          <w:sz w:val="24"/>
          <w:highlight w:val="none"/>
          <w:u w:val="single"/>
        </w:rPr>
        <w:t xml:space="preserve">                    </w:t>
      </w:r>
      <w:r>
        <w:rPr>
          <w:color w:val="000000"/>
          <w:sz w:val="24"/>
          <w:highlight w:val="none"/>
          <w:lang w:val="zh-CN"/>
        </w:rPr>
      </w:r>
      <w:r/>
    </w:p>
    <w:p>
      <w:pPr>
        <w:pStyle w:val="1005"/>
        <w:spacing w:before="25" w:after="25" w:line="360" w:lineRule="auto"/>
        <w:rPr>
          <w:color w:val="000000"/>
          <w:sz w:val="24"/>
          <w:highlight w:val="none"/>
          <w:lang w:val="zh-CN"/>
        </w:rPr>
      </w:pPr>
      <w:r>
        <w:rPr>
          <w:color w:val="000000"/>
          <w:sz w:val="24"/>
          <w:szCs w:val="20"/>
          <w:highlight w:val="none"/>
        </w:rPr>
        <w:t xml:space="preserve">日期：_____年____月____日</w:t>
      </w:r>
      <w:r>
        <w:rPr>
          <w:color w:val="000000"/>
          <w:sz w:val="24"/>
          <w:highlight w:val="none"/>
          <w:lang w:val="zh-CN"/>
        </w:rPr>
      </w:r>
      <w:r/>
    </w:p>
    <w:p>
      <w:pPr>
        <w:pStyle w:val="1005"/>
        <w:spacing w:line="360" w:lineRule="auto"/>
        <w:rPr>
          <w:color w:val="000000"/>
          <w:sz w:val="24"/>
          <w:highlight w:val="none"/>
        </w:rPr>
      </w:pPr>
      <w:r>
        <w:rPr>
          <w:color w:val="000000"/>
          <w:sz w:val="24"/>
          <w:highlight w:val="none"/>
        </w:rPr>
        <w:br w:type="page" w:clear="all"/>
      </w:r>
      <w:r>
        <w:rPr>
          <w:color w:val="000000"/>
          <w:sz w:val="24"/>
          <w:highlight w:val="none"/>
        </w:rPr>
      </w:r>
      <w:r/>
    </w:p>
    <w:p>
      <w:pPr>
        <w:pStyle w:val="1005"/>
        <w:spacing w:line="360" w:lineRule="auto"/>
        <w:rPr>
          <w:color w:val="000000"/>
          <w:sz w:val="24"/>
          <w:szCs w:val="20"/>
          <w:highlight w:val="none"/>
        </w:rPr>
        <w:outlineLvl w:val="2"/>
      </w:pPr>
      <w:r>
        <w:rPr>
          <w:rFonts w:hint="eastAsia"/>
          <w:color w:val="000000"/>
          <w:sz w:val="24"/>
          <w:szCs w:val="20"/>
          <w:highlight w:val="none"/>
        </w:rPr>
        <w:t xml:space="preserve">11  </w:t>
      </w:r>
      <w:r>
        <w:rPr>
          <w:color w:val="000000"/>
          <w:sz w:val="24"/>
          <w:szCs w:val="20"/>
          <w:highlight w:val="none"/>
        </w:rPr>
        <w:t xml:space="preserve">招标文件要求提供或投标人认为应附的其他材料</w:t>
      </w:r>
      <w:r>
        <w:rPr>
          <w:color w:val="000000"/>
          <w:sz w:val="24"/>
          <w:szCs w:val="20"/>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Wingdings">
    <w:panose1 w:val="05000000000000000000"/>
  </w:font>
  <w:font w:name="Symbol">
    <w:panose1 w:val="05050102010706020507"/>
  </w:font>
  <w:font w:name="Segoe UI Symbol">
    <w:panose1 w:val="020B0502040204020203"/>
  </w:font>
  <w:font w:name="???|CS?o｡ﾀ?">
    <w:panose1 w:val="020B0503020202020204"/>
  </w:font>
  <w:font w:name="Arial Unicode MS">
    <w:panose1 w:val="020B0604020202020204"/>
  </w:font>
  <w:font w:name="等线">
    <w:panose1 w:val="02010600030101010101"/>
  </w:font>
  <w:font w:name="仿宋">
    <w:panose1 w:val="02010609060101010101"/>
  </w:font>
  <w:font w:name="等线 Light">
    <w:panose1 w:val="02010600030101010101"/>
  </w:font>
  <w:font w:name="Calibri">
    <w:panose1 w:val="020F0502020204030204"/>
  </w:font>
  <w:font w:name="CESI黑体-GB2312">
    <w:panose1 w:val="020B0503020202020204"/>
  </w:font>
  <w:font w:name="Cambria">
    <w:panose1 w:val="02040503050406030204"/>
  </w:font>
  <w:font w:name="Menlo">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right="360"/>
      <w:tabs>
        <w:tab w:val="center" w:pos="4153" w:leader="none"/>
        <w:tab w:val="right" w:pos="8306" w:leader="none"/>
      </w:tabs>
      <w:rPr>
        <w:rStyle w:val="1086"/>
      </w:rPr>
      <w:framePr w:wrap="around" w:vAnchor="text" w:hAnchor="margin" w:y="1"/>
    </w:pPr>
    <w:r>
      <w:rPr>
        <w:rStyle w:val="1086"/>
      </w:rPr>
    </w:r>
    <w:r/>
  </w:p>
  <w:p>
    <w:pPr>
      <w:pStyle w:val="1054"/>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rPr>
        <w:rStyle w:val="1086"/>
      </w:rPr>
      <w:framePr w:wrap="around" w:vAnchor="text" w:hAnchor="margin" w:xAlign="center" w:y="1"/>
    </w:pPr>
    <w:r>
      <w:fldChar w:fldCharType="begin"/>
    </w:r>
    <w:r>
      <w:rPr>
        <w:rStyle w:val="1086"/>
      </w:rPr>
      <w:instrText xml:space="preserve">PAGE  </w:instrText>
    </w:r>
    <w:r>
      <w:fldChar w:fldCharType="end"/>
    </w:r>
    <w:r>
      <w:rPr>
        <w:rStyle w:val="1086"/>
      </w:rPr>
    </w:r>
    <w:r/>
  </w:p>
  <w:p>
    <w:pPr>
      <w:pStyle w:val="105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rPr>
        <w:rStyle w:val="1086"/>
      </w:rPr>
      <w:framePr w:wrap="around" w:vAnchor="text" w:hAnchor="margin" w:xAlign="right" w:y="1"/>
    </w:pPr>
    <w:r>
      <w:fldChar w:fldCharType="begin"/>
    </w:r>
    <w:r>
      <w:rPr>
        <w:rStyle w:val="1086"/>
      </w:rPr>
      <w:instrText xml:space="preserve">PAGE  </w:instrText>
    </w:r>
    <w:r>
      <w:fldChar w:fldCharType="end"/>
    </w:r>
    <w:r>
      <w:rPr>
        <w:rStyle w:val="1086"/>
      </w:rPr>
    </w:r>
    <w:r/>
  </w:p>
  <w:p>
    <w:pPr>
      <w:pStyle w:val="1054"/>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tabs>
        <w:tab w:val="center" w:pos="4153" w:leader="none"/>
        <w:tab w:val="right" w:pos="8306" w:leader="none"/>
      </w:tabs>
      <w:rPr>
        <w:rFonts w:hint="eastAsia"/>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47</w:t>
    </w:r>
    <w:r>
      <w:rPr>
        <w:rFonts w:ascii="Times New Roman"/>
      </w:rP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05"/>
        <w:ind w:left="4941" w:hanging="1140"/>
        <w:tabs>
          <w:tab w:val="num" w:pos="4941" w:leader="none"/>
        </w:tabs>
      </w:pPr>
      <w:rPr>
        <w:rFonts w:hint="eastAsia"/>
      </w:rPr>
    </w:lvl>
    <w:lvl w:ilvl="1">
      <w:start w:val="1"/>
      <w:numFmt w:val="lowerLetter"/>
      <w:isLgl w:val="false"/>
      <w:suff w:val="tab"/>
      <w:lvlText w:val="%2)"/>
      <w:lvlJc w:val="left"/>
      <w:pPr>
        <w:pStyle w:val="1005"/>
        <w:ind w:left="4641" w:hanging="420"/>
        <w:tabs>
          <w:tab w:val="num" w:pos="4641" w:leader="none"/>
        </w:tabs>
      </w:pPr>
    </w:lvl>
    <w:lvl w:ilvl="2">
      <w:start w:val="1"/>
      <w:numFmt w:val="lowerRoman"/>
      <w:isLgl w:val="false"/>
      <w:suff w:val="tab"/>
      <w:lvlText w:val="%3."/>
      <w:lvlJc w:val="right"/>
      <w:pPr>
        <w:pStyle w:val="1005"/>
        <w:ind w:left="5061" w:hanging="420"/>
        <w:tabs>
          <w:tab w:val="num" w:pos="5061" w:leader="none"/>
        </w:tabs>
      </w:pPr>
    </w:lvl>
    <w:lvl w:ilvl="3">
      <w:start w:val="1"/>
      <w:numFmt w:val="decimal"/>
      <w:isLgl w:val="false"/>
      <w:suff w:val="tab"/>
      <w:lvlText w:val="%4."/>
      <w:lvlJc w:val="left"/>
      <w:pPr>
        <w:pStyle w:val="1005"/>
        <w:ind w:left="5481" w:hanging="420"/>
        <w:tabs>
          <w:tab w:val="num" w:pos="5481" w:leader="none"/>
        </w:tabs>
      </w:pPr>
    </w:lvl>
    <w:lvl w:ilvl="4">
      <w:start w:val="1"/>
      <w:numFmt w:val="lowerLetter"/>
      <w:isLgl w:val="false"/>
      <w:suff w:val="tab"/>
      <w:lvlText w:val="%5)"/>
      <w:lvlJc w:val="left"/>
      <w:pPr>
        <w:pStyle w:val="1005"/>
        <w:ind w:left="5901" w:hanging="420"/>
        <w:tabs>
          <w:tab w:val="num" w:pos="5901" w:leader="none"/>
        </w:tabs>
      </w:pPr>
    </w:lvl>
    <w:lvl w:ilvl="5">
      <w:start w:val="1"/>
      <w:numFmt w:val="lowerRoman"/>
      <w:isLgl w:val="false"/>
      <w:suff w:val="tab"/>
      <w:lvlText w:val="%6."/>
      <w:lvlJc w:val="right"/>
      <w:pPr>
        <w:pStyle w:val="1005"/>
        <w:ind w:left="6321" w:hanging="420"/>
        <w:tabs>
          <w:tab w:val="num" w:pos="6321" w:leader="none"/>
        </w:tabs>
      </w:pPr>
    </w:lvl>
    <w:lvl w:ilvl="6">
      <w:start w:val="1"/>
      <w:numFmt w:val="decimal"/>
      <w:isLgl w:val="false"/>
      <w:suff w:val="tab"/>
      <w:lvlText w:val="%7."/>
      <w:lvlJc w:val="left"/>
      <w:pPr>
        <w:pStyle w:val="1005"/>
        <w:ind w:left="6741" w:hanging="420"/>
        <w:tabs>
          <w:tab w:val="num" w:pos="6741" w:leader="none"/>
        </w:tabs>
      </w:pPr>
    </w:lvl>
    <w:lvl w:ilvl="7">
      <w:start w:val="1"/>
      <w:numFmt w:val="lowerLetter"/>
      <w:isLgl w:val="false"/>
      <w:suff w:val="tab"/>
      <w:lvlText w:val="%8)"/>
      <w:lvlJc w:val="left"/>
      <w:pPr>
        <w:pStyle w:val="1005"/>
        <w:ind w:left="7161" w:hanging="420"/>
        <w:tabs>
          <w:tab w:val="num" w:pos="7161" w:leader="none"/>
        </w:tabs>
      </w:pPr>
    </w:lvl>
    <w:lvl w:ilvl="8">
      <w:start w:val="1"/>
      <w:numFmt w:val="lowerRoman"/>
      <w:isLgl w:val="false"/>
      <w:suff w:val="tab"/>
      <w:lvlText w:val="%9."/>
      <w:lvlJc w:val="right"/>
      <w:pPr>
        <w:pStyle w:val="1005"/>
        <w:ind w:left="7581" w:hanging="420"/>
        <w:tabs>
          <w:tab w:val="num" w:pos="7581" w:leader="none"/>
        </w:tabs>
      </w:pPr>
    </w:lvl>
  </w:abstractNum>
  <w:abstractNum w:abstractNumId="1">
    <w:multiLevelType w:val="hybridMultilevel"/>
    <w:lvl w:ilvl="0">
      <w:start w:val="1"/>
      <w:numFmt w:val="decimal"/>
      <w:pStyle w:val="1357"/>
      <w:isLgl w:val="false"/>
      <w:suff w:val="tab"/>
      <w:lvlText w:val="%1."/>
      <w:lvlJc w:val="left"/>
      <w:pPr>
        <w:pStyle w:val="1005"/>
        <w:ind w:left="420" w:hanging="420"/>
      </w:pPr>
    </w:lvl>
    <w:lvl w:ilvl="1">
      <w:start w:val="1"/>
      <w:numFmt w:val="decimal"/>
      <w:isLgl w:val="false"/>
      <w:suff w:val="tab"/>
      <w:lvlText w:val="（%2）"/>
      <w:lvlJc w:val="left"/>
      <w:pPr>
        <w:pStyle w:val="1005"/>
        <w:ind w:left="1140" w:hanging="720"/>
        <w:tabs>
          <w:tab w:val="num" w:pos="1140" w:leader="none"/>
        </w:tabs>
      </w:pPr>
      <w:rPr>
        <w:rFonts w:hint="eastAsia"/>
      </w:rPr>
    </w:lvl>
    <w:lvl w:ilvl="2">
      <w:start w:val="1"/>
      <w:numFmt w:val="lowerRoman"/>
      <w:isLgl w:val="false"/>
      <w:suff w:val="tab"/>
      <w:lvlText w:val="%3."/>
      <w:lvlJc w:val="right"/>
      <w:pPr>
        <w:pStyle w:val="1005"/>
        <w:ind w:left="1260" w:hanging="420"/>
      </w:pPr>
    </w:lvl>
    <w:lvl w:ilvl="3">
      <w:start w:val="1"/>
      <w:numFmt w:val="decimal"/>
      <w:isLgl w:val="false"/>
      <w:suff w:val="tab"/>
      <w:lvlText w:val="%4."/>
      <w:lvlJc w:val="left"/>
      <w:pPr>
        <w:pStyle w:val="1005"/>
        <w:ind w:left="1680" w:hanging="420"/>
      </w:pPr>
    </w:lvl>
    <w:lvl w:ilvl="4">
      <w:start w:val="1"/>
      <w:numFmt w:val="lowerLetter"/>
      <w:isLgl w:val="false"/>
      <w:suff w:val="tab"/>
      <w:lvlText w:val="%5)"/>
      <w:lvlJc w:val="left"/>
      <w:pPr>
        <w:pStyle w:val="1005"/>
        <w:ind w:left="2100" w:hanging="420"/>
      </w:pPr>
    </w:lvl>
    <w:lvl w:ilvl="5">
      <w:start w:val="1"/>
      <w:numFmt w:val="lowerRoman"/>
      <w:isLgl w:val="false"/>
      <w:suff w:val="tab"/>
      <w:lvlText w:val="%6."/>
      <w:lvlJc w:val="right"/>
      <w:pPr>
        <w:pStyle w:val="1005"/>
        <w:ind w:left="2520" w:hanging="420"/>
      </w:pPr>
    </w:lvl>
    <w:lvl w:ilvl="6">
      <w:start w:val="1"/>
      <w:numFmt w:val="decimal"/>
      <w:isLgl w:val="false"/>
      <w:suff w:val="tab"/>
      <w:lvlText w:val="%7."/>
      <w:lvlJc w:val="left"/>
      <w:pPr>
        <w:pStyle w:val="1005"/>
        <w:ind w:left="2940" w:hanging="420"/>
      </w:pPr>
    </w:lvl>
    <w:lvl w:ilvl="7">
      <w:start w:val="1"/>
      <w:numFmt w:val="lowerLetter"/>
      <w:isLgl w:val="false"/>
      <w:suff w:val="tab"/>
      <w:lvlText w:val="%8)"/>
      <w:lvlJc w:val="left"/>
      <w:pPr>
        <w:pStyle w:val="1005"/>
        <w:ind w:left="3360" w:hanging="420"/>
      </w:pPr>
    </w:lvl>
    <w:lvl w:ilvl="8">
      <w:start w:val="1"/>
      <w:numFmt w:val="lowerRoman"/>
      <w:isLgl w:val="false"/>
      <w:suff w:val="tab"/>
      <w:lvlText w:val="%9."/>
      <w:lvlJc w:val="right"/>
      <w:pPr>
        <w:pStyle w:val="1005"/>
        <w:ind w:left="3780" w:hanging="420"/>
      </w:pPr>
    </w:lvl>
  </w:abstractNum>
  <w:abstractNum w:abstractNumId="2">
    <w:multiLevelType w:val="hybridMultilevel"/>
    <w:lvl w:ilvl="0">
      <w:start w:val="1"/>
      <w:numFmt w:val="lowerLetter"/>
      <w:pStyle w:val="1268"/>
      <w:isLgl w:val="false"/>
      <w:suff w:val="tab"/>
      <w:lvlText w:val="%1)"/>
      <w:lvlJc w:val="left"/>
      <w:pPr>
        <w:pStyle w:val="1005"/>
        <w:ind w:left="902" w:hanging="420"/>
      </w:pPr>
      <w:rPr>
        <w:color w:val="000000"/>
      </w:rPr>
    </w:lvl>
    <w:lvl w:ilvl="1">
      <w:start w:val="1"/>
      <w:numFmt w:val="lowerLetter"/>
      <w:isLgl w:val="false"/>
      <w:suff w:val="tab"/>
      <w:lvlText w:val="%2)"/>
      <w:lvlJc w:val="left"/>
      <w:pPr>
        <w:pStyle w:val="1005"/>
        <w:ind w:left="1322" w:hanging="420"/>
      </w:pPr>
    </w:lvl>
    <w:lvl w:ilvl="2">
      <w:start w:val="1"/>
      <w:numFmt w:val="lowerRoman"/>
      <w:isLgl w:val="false"/>
      <w:suff w:val="tab"/>
      <w:lvlText w:val="%3."/>
      <w:lvlJc w:val="right"/>
      <w:pPr>
        <w:pStyle w:val="1005"/>
        <w:ind w:left="1742" w:hanging="420"/>
      </w:pPr>
    </w:lvl>
    <w:lvl w:ilvl="3">
      <w:start w:val="1"/>
      <w:numFmt w:val="decimal"/>
      <w:isLgl w:val="false"/>
      <w:suff w:val="tab"/>
      <w:lvlText w:val="%4."/>
      <w:lvlJc w:val="left"/>
      <w:pPr>
        <w:pStyle w:val="1005"/>
        <w:ind w:left="2162" w:hanging="420"/>
      </w:pPr>
    </w:lvl>
    <w:lvl w:ilvl="4">
      <w:start w:val="1"/>
      <w:numFmt w:val="lowerLetter"/>
      <w:isLgl w:val="false"/>
      <w:suff w:val="tab"/>
      <w:lvlText w:val="%5)"/>
      <w:lvlJc w:val="left"/>
      <w:pPr>
        <w:pStyle w:val="1005"/>
        <w:ind w:left="2582" w:hanging="420"/>
      </w:pPr>
    </w:lvl>
    <w:lvl w:ilvl="5">
      <w:start w:val="1"/>
      <w:numFmt w:val="lowerRoman"/>
      <w:isLgl w:val="false"/>
      <w:suff w:val="tab"/>
      <w:lvlText w:val="%6."/>
      <w:lvlJc w:val="right"/>
      <w:pPr>
        <w:pStyle w:val="1005"/>
        <w:ind w:left="3002" w:hanging="420"/>
      </w:pPr>
    </w:lvl>
    <w:lvl w:ilvl="6">
      <w:start w:val="1"/>
      <w:numFmt w:val="decimal"/>
      <w:isLgl w:val="false"/>
      <w:suff w:val="tab"/>
      <w:lvlText w:val="%7."/>
      <w:lvlJc w:val="left"/>
      <w:pPr>
        <w:pStyle w:val="1005"/>
        <w:ind w:left="3422" w:hanging="420"/>
      </w:pPr>
    </w:lvl>
    <w:lvl w:ilvl="7">
      <w:start w:val="1"/>
      <w:numFmt w:val="lowerLetter"/>
      <w:isLgl w:val="false"/>
      <w:suff w:val="tab"/>
      <w:lvlText w:val="%8)"/>
      <w:lvlJc w:val="left"/>
      <w:pPr>
        <w:pStyle w:val="1005"/>
        <w:ind w:left="3842" w:hanging="420"/>
      </w:pPr>
    </w:lvl>
    <w:lvl w:ilvl="8">
      <w:start w:val="1"/>
      <w:numFmt w:val="lowerRoman"/>
      <w:isLgl w:val="false"/>
      <w:suff w:val="tab"/>
      <w:lvlText w:val="%9."/>
      <w:lvlJc w:val="right"/>
      <w:pPr>
        <w:pStyle w:val="1005"/>
        <w:ind w:left="4262" w:hanging="420"/>
      </w:pPr>
    </w:lvl>
  </w:abstractNum>
  <w:abstractNum w:abstractNumId="3">
    <w:multiLevelType w:val="hybridMultilevel"/>
    <w:lvl w:ilvl="0">
      <w:start w:val="1"/>
      <w:numFmt w:val="decimal"/>
      <w:pStyle w:val="1263"/>
      <w:isLgl w:val="false"/>
      <w:suff w:val="tab"/>
      <w:lvlText w:val="%1."/>
      <w:lvlJc w:val="left"/>
      <w:pPr>
        <w:pStyle w:val="100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04"/>
      <w:isLgl w:val="false"/>
      <w:suff w:val="nothing"/>
      <w:lvlText w:val="%1　"/>
      <w:lvlJc w:val="left"/>
      <w:pPr>
        <w:pStyle w:val="1005"/>
        <w:ind w:left="-25" w:firstLine="0"/>
      </w:pPr>
      <w:rPr>
        <w:rFonts w:ascii="Times New Roman" w:hAnsi="Times New Roman" w:eastAsia="宋体"/>
        <w:b/>
        <w:i w:val="0"/>
        <w:color w:val="000000"/>
        <w:sz w:val="28"/>
        <w:u w:val="none"/>
      </w:rPr>
    </w:lvl>
    <w:lvl w:ilvl="1">
      <w:start w:val="1"/>
      <w:numFmt w:val="decimal"/>
      <w:pStyle w:val="1303"/>
      <w:isLgl w:val="false"/>
      <w:suff w:val="nothing"/>
      <w:lvlText w:val="%1.%2　"/>
      <w:lvlJc w:val="left"/>
      <w:pPr>
        <w:pStyle w:val="100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05"/>
        <w:ind w:left="-25" w:firstLine="0"/>
      </w:pPr>
      <w:rPr>
        <w:rFonts w:ascii="Times New Roman" w:hAnsi="Times New Roman" w:eastAsia="黑体"/>
        <w:b/>
        <w:i w:val="0"/>
        <w:sz w:val="28"/>
      </w:rPr>
    </w:lvl>
    <w:lvl w:ilvl="3">
      <w:start w:val="1"/>
      <w:numFmt w:val="decimal"/>
      <w:pStyle w:val="1368"/>
      <w:isLgl w:val="false"/>
      <w:suff w:val="nothing"/>
      <w:lvlText w:val="%1.%2.%3.%4　"/>
      <w:lvlJc w:val="left"/>
      <w:pPr>
        <w:pStyle w:val="1005"/>
        <w:ind w:left="-25" w:firstLine="0"/>
      </w:pPr>
      <w:rPr>
        <w:rFonts w:ascii="Times New Roman" w:hAnsi="Times New Roman" w:eastAsia="宋体"/>
        <w:b/>
        <w:i w:val="0"/>
        <w:color w:val="000000"/>
        <w:sz w:val="28"/>
        <w:u w:val="none"/>
      </w:rPr>
    </w:lvl>
    <w:lvl w:ilvl="4">
      <w:start w:val="1"/>
      <w:numFmt w:val="decimal"/>
      <w:pStyle w:val="1367"/>
      <w:isLgl w:val="false"/>
      <w:suff w:val="nothing"/>
      <w:lvlText w:val="%1.%2.%3.%4.%5　"/>
      <w:lvlJc w:val="left"/>
      <w:pPr>
        <w:pStyle w:val="1005"/>
        <w:ind w:left="-25" w:firstLine="0"/>
      </w:pPr>
      <w:rPr>
        <w:rFonts w:ascii="Times New Roman" w:hAnsi="Times New Roman" w:eastAsia="宋体"/>
        <w:b/>
        <w:i w:val="0"/>
        <w:color w:val="000000"/>
        <w:sz w:val="28"/>
        <w:u w:val="none"/>
      </w:rPr>
    </w:lvl>
    <w:lvl w:ilvl="5">
      <w:start w:val="1"/>
      <w:numFmt w:val="decimal"/>
      <w:pStyle w:val="1366"/>
      <w:isLgl w:val="false"/>
      <w:suff w:val="nothing"/>
      <w:lvlText w:val="%1.%2.%3.%4.%5.%6　"/>
      <w:lvlJc w:val="left"/>
      <w:pPr>
        <w:pStyle w:val="1005"/>
        <w:ind w:left="-25" w:firstLine="0"/>
      </w:pPr>
      <w:rPr>
        <w:rFonts w:ascii="Times New Roman" w:hAnsi="Times New Roman" w:eastAsia="宋体"/>
        <w:b/>
        <w:i w:val="0"/>
        <w:sz w:val="28"/>
      </w:rPr>
    </w:lvl>
    <w:lvl w:ilvl="6">
      <w:start w:val="1"/>
      <w:numFmt w:val="lowerLetter"/>
      <w:pStyle w:val="1322"/>
      <w:isLgl w:val="false"/>
      <w:suff w:val="tab"/>
      <w:lvlText w:val="%7) "/>
      <w:lvlJc w:val="left"/>
      <w:pPr>
        <w:pStyle w:val="1005"/>
        <w:ind w:left="-125" w:firstLine="400"/>
        <w:tabs>
          <w:tab w:val="num" w:pos="635" w:leader="none"/>
        </w:tabs>
      </w:pPr>
      <w:rPr>
        <w:rFonts w:ascii="Times New Roman" w:hAnsi="Times New Roman" w:eastAsia="宋体"/>
        <w:b/>
        <w:i w:val="0"/>
        <w:color w:val="000000"/>
        <w:sz w:val="28"/>
        <w:u w:val="none"/>
      </w:rPr>
    </w:lvl>
    <w:lvl w:ilvl="7">
      <w:start w:val="1"/>
      <w:numFmt w:val="decimal"/>
      <w:pStyle w:val="1344"/>
      <w:isLgl w:val="false"/>
      <w:suff w:val="tab"/>
      <w:lvlText w:val="%8) "/>
      <w:lvlJc w:val="left"/>
      <w:pPr>
        <w:pStyle w:val="100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0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05"/>
        <w:ind w:left="768" w:hanging="360"/>
        <w:tabs>
          <w:tab w:val="num" w:pos="768" w:leader="none"/>
        </w:tabs>
      </w:pPr>
      <w:rPr>
        <w:rFonts w:hint="eastAsia"/>
      </w:rPr>
    </w:lvl>
    <w:lvl w:ilvl="1">
      <w:start w:val="1"/>
      <w:numFmt w:val="decimal"/>
      <w:pStyle w:val="1400"/>
      <w:isLgl w:val="false"/>
      <w:suff w:val="tab"/>
      <w:lvlText w:val="%2、"/>
      <w:lvlJc w:val="left"/>
      <w:pPr>
        <w:pStyle w:val="1005"/>
        <w:ind w:left="1188" w:hanging="360"/>
        <w:tabs>
          <w:tab w:val="num" w:pos="1188" w:leader="none"/>
        </w:tabs>
      </w:pPr>
      <w:rPr>
        <w:rFonts w:hint="eastAsia"/>
      </w:rPr>
    </w:lvl>
    <w:lvl w:ilvl="2">
      <w:start w:val="1"/>
      <w:numFmt w:val="decimal"/>
      <w:isLgl w:val="false"/>
      <w:suff w:val="tab"/>
      <w:lvlText w:val="（%3）"/>
      <w:lvlJc w:val="left"/>
      <w:pPr>
        <w:pStyle w:val="1005"/>
        <w:ind w:left="1968" w:hanging="720"/>
        <w:tabs>
          <w:tab w:val="num" w:pos="1968" w:leader="none"/>
        </w:tabs>
      </w:pPr>
      <w:rPr>
        <w:rFonts w:hint="eastAsia"/>
        <w:u w:val="none"/>
      </w:rPr>
    </w:lvl>
    <w:lvl w:ilvl="3">
      <w:start w:val="1"/>
      <w:numFmt w:val="decimal"/>
      <w:isLgl w:val="false"/>
      <w:suff w:val="tab"/>
      <w:lvlText w:val="%4."/>
      <w:lvlJc w:val="left"/>
      <w:pPr>
        <w:pStyle w:val="1005"/>
        <w:ind w:left="2088" w:hanging="420"/>
        <w:tabs>
          <w:tab w:val="num" w:pos="2088" w:leader="none"/>
        </w:tabs>
      </w:pPr>
    </w:lvl>
    <w:lvl w:ilvl="4">
      <w:start w:val="1"/>
      <w:numFmt w:val="lowerLetter"/>
      <w:isLgl w:val="false"/>
      <w:suff w:val="tab"/>
      <w:lvlText w:val="%5)"/>
      <w:lvlJc w:val="left"/>
      <w:pPr>
        <w:pStyle w:val="1005"/>
        <w:ind w:left="2508" w:hanging="420"/>
        <w:tabs>
          <w:tab w:val="num" w:pos="2508" w:leader="none"/>
        </w:tabs>
      </w:pPr>
    </w:lvl>
    <w:lvl w:ilvl="5">
      <w:start w:val="1"/>
      <w:numFmt w:val="lowerRoman"/>
      <w:isLgl w:val="false"/>
      <w:suff w:val="tab"/>
      <w:lvlText w:val="%6."/>
      <w:lvlJc w:val="right"/>
      <w:pPr>
        <w:pStyle w:val="1005"/>
        <w:ind w:left="2928" w:hanging="420"/>
        <w:tabs>
          <w:tab w:val="num" w:pos="2928" w:leader="none"/>
        </w:tabs>
      </w:pPr>
    </w:lvl>
    <w:lvl w:ilvl="6">
      <w:start w:val="1"/>
      <w:numFmt w:val="decimal"/>
      <w:isLgl w:val="false"/>
      <w:suff w:val="tab"/>
      <w:lvlText w:val="%7."/>
      <w:lvlJc w:val="left"/>
      <w:pPr>
        <w:pStyle w:val="1005"/>
        <w:ind w:left="3348" w:hanging="420"/>
        <w:tabs>
          <w:tab w:val="num" w:pos="3348" w:leader="none"/>
        </w:tabs>
      </w:pPr>
    </w:lvl>
    <w:lvl w:ilvl="7">
      <w:start w:val="1"/>
      <w:numFmt w:val="lowerLetter"/>
      <w:isLgl w:val="false"/>
      <w:suff w:val="tab"/>
      <w:lvlText w:val="%8)"/>
      <w:lvlJc w:val="left"/>
      <w:pPr>
        <w:pStyle w:val="1005"/>
        <w:ind w:left="3768" w:hanging="420"/>
        <w:tabs>
          <w:tab w:val="num" w:pos="3768" w:leader="none"/>
        </w:tabs>
      </w:pPr>
    </w:lvl>
    <w:lvl w:ilvl="8">
      <w:start w:val="1"/>
      <w:numFmt w:val="lowerRoman"/>
      <w:isLgl w:val="false"/>
      <w:suff w:val="tab"/>
      <w:lvlText w:val="%9."/>
      <w:lvlJc w:val="right"/>
      <w:pPr>
        <w:pStyle w:val="1005"/>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05"/>
        <w:ind w:left="900" w:hanging="900"/>
        <w:tabs>
          <w:tab w:val="num" w:pos="900" w:leader="none"/>
        </w:tabs>
      </w:pPr>
      <w:rPr>
        <w:rFonts w:hint="eastAsia"/>
      </w:rPr>
    </w:lvl>
    <w:lvl w:ilvl="1">
      <w:start w:val="1"/>
      <w:numFmt w:val="decimal"/>
      <w:isLgl w:val="false"/>
      <w:suff w:val="tab"/>
      <w:lvlText w:val="%1.%2"/>
      <w:lvlJc w:val="left"/>
      <w:pPr>
        <w:pStyle w:val="10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5"/>
        <w:ind w:left="1980" w:hanging="900"/>
        <w:tabs>
          <w:tab w:val="num" w:pos="1980" w:leader="none"/>
        </w:tabs>
      </w:pPr>
      <w:rPr>
        <w:rFonts w:hint="eastAsia"/>
      </w:rPr>
    </w:lvl>
    <w:lvl w:ilvl="3">
      <w:start w:val="1"/>
      <w:numFmt w:val="decimal"/>
      <w:isLgl w:val="false"/>
      <w:suff w:val="tab"/>
      <w:lvlText w:val="%1.%2.%3.%4"/>
      <w:lvlJc w:val="left"/>
      <w:pPr>
        <w:pStyle w:val="1005"/>
        <w:ind w:left="900" w:hanging="900"/>
        <w:tabs>
          <w:tab w:val="num" w:pos="900" w:leader="none"/>
        </w:tabs>
      </w:pPr>
      <w:rPr>
        <w:rFonts w:hint="eastAsia"/>
      </w:rPr>
    </w:lvl>
    <w:lvl w:ilvl="4">
      <w:start w:val="1"/>
      <w:numFmt w:val="decimal"/>
      <w:isLgl w:val="false"/>
      <w:suff w:val="tab"/>
      <w:lvlText w:val="%1.%2.%3.%4.%5"/>
      <w:lvlJc w:val="left"/>
      <w:pPr>
        <w:pStyle w:val="1005"/>
        <w:ind w:left="900" w:hanging="900"/>
        <w:tabs>
          <w:tab w:val="num" w:pos="900" w:leader="none"/>
        </w:tabs>
      </w:pPr>
      <w:rPr>
        <w:rFonts w:hint="eastAsia"/>
      </w:rPr>
    </w:lvl>
    <w:lvl w:ilvl="5">
      <w:start w:val="1"/>
      <w:numFmt w:val="decimal"/>
      <w:isLgl w:val="false"/>
      <w:suff w:val="tab"/>
      <w:lvlText w:val="%1.%2.%3.%4.%5.%6"/>
      <w:lvlJc w:val="left"/>
      <w:pPr>
        <w:pStyle w:val="1005"/>
        <w:ind w:left="900" w:hanging="900"/>
        <w:tabs>
          <w:tab w:val="num" w:pos="900" w:leader="none"/>
        </w:tabs>
      </w:pPr>
      <w:rPr>
        <w:rFonts w:hint="eastAsia"/>
      </w:rPr>
    </w:lvl>
    <w:lvl w:ilvl="6">
      <w:start w:val="1"/>
      <w:numFmt w:val="decimal"/>
      <w:isLgl w:val="false"/>
      <w:suff w:val="tab"/>
      <w:lvlText w:val="%1.%2.%3.%4.%5.%6.%7"/>
      <w:lvlJc w:val="left"/>
      <w:pPr>
        <w:pStyle w:val="1005"/>
        <w:ind w:left="900" w:hanging="900"/>
        <w:tabs>
          <w:tab w:val="num" w:pos="900" w:leader="none"/>
        </w:tabs>
      </w:pPr>
      <w:rPr>
        <w:rFonts w:hint="eastAsia"/>
      </w:rPr>
    </w:lvl>
    <w:lvl w:ilvl="7">
      <w:start w:val="1"/>
      <w:numFmt w:val="decimal"/>
      <w:isLgl w:val="false"/>
      <w:suff w:val="tab"/>
      <w:lvlText w:val="%1.%2.%3.%4.%5.%6.%7.%8"/>
      <w:lvlJc w:val="left"/>
      <w:pPr>
        <w:pStyle w:val="1005"/>
        <w:ind w:left="900" w:hanging="900"/>
        <w:tabs>
          <w:tab w:val="num" w:pos="900" w:leader="none"/>
        </w:tabs>
      </w:pPr>
      <w:rPr>
        <w:rFonts w:hint="eastAsia"/>
      </w:rPr>
    </w:lvl>
    <w:lvl w:ilvl="8">
      <w:start w:val="1"/>
      <w:numFmt w:val="decimal"/>
      <w:isLgl w:val="false"/>
      <w:suff w:val="tab"/>
      <w:lvlText w:val="%1.%2.%3.%4.%5.%6.%7.%8.%9"/>
      <w:lvlJc w:val="left"/>
      <w:pPr>
        <w:pStyle w:val="1005"/>
        <w:ind w:left="900" w:hanging="900"/>
        <w:tabs>
          <w:tab w:val="num" w:pos="900" w:leader="none"/>
        </w:tabs>
      </w:pPr>
      <w:rPr>
        <w:rFonts w:hint="eastAsia"/>
      </w:rPr>
    </w:lvl>
  </w:abstractNum>
  <w:abstractNum w:abstractNumId="7">
    <w:multiLevelType w:val="hybridMultilevel"/>
    <w:lvl w:ilvl="0">
      <w:start w:val="1"/>
      <w:numFmt w:val="decimal"/>
      <w:pStyle w:val="1356"/>
      <w:isLgl w:val="false"/>
      <w:suff w:val="tab"/>
      <w:lvlText w:val="%1)"/>
      <w:lvlJc w:val="left"/>
      <w:pPr>
        <w:pStyle w:val="1005"/>
        <w:ind w:left="420" w:hanging="420"/>
      </w:pPr>
    </w:lvl>
    <w:lvl w:ilvl="1">
      <w:start w:val="1"/>
      <w:numFmt w:val="lowerLetter"/>
      <w:isLgl w:val="false"/>
      <w:suff w:val="tab"/>
      <w:lvlText w:val="%2)"/>
      <w:lvlJc w:val="left"/>
      <w:pPr>
        <w:pStyle w:val="1005"/>
        <w:ind w:left="840" w:hanging="420"/>
      </w:pPr>
    </w:lvl>
    <w:lvl w:ilvl="2">
      <w:start w:val="1"/>
      <w:numFmt w:val="lowerRoman"/>
      <w:isLgl w:val="false"/>
      <w:suff w:val="tab"/>
      <w:lvlText w:val="%3."/>
      <w:lvlJc w:val="right"/>
      <w:pPr>
        <w:pStyle w:val="1005"/>
        <w:ind w:left="1260" w:hanging="420"/>
      </w:pPr>
    </w:lvl>
    <w:lvl w:ilvl="3">
      <w:start w:val="1"/>
      <w:numFmt w:val="decimal"/>
      <w:isLgl w:val="false"/>
      <w:suff w:val="tab"/>
      <w:lvlText w:val="%4."/>
      <w:lvlJc w:val="left"/>
      <w:pPr>
        <w:pStyle w:val="1005"/>
        <w:ind w:left="1680" w:hanging="420"/>
      </w:pPr>
    </w:lvl>
    <w:lvl w:ilvl="4">
      <w:start w:val="1"/>
      <w:numFmt w:val="lowerLetter"/>
      <w:isLgl w:val="false"/>
      <w:suff w:val="tab"/>
      <w:lvlText w:val="%5)"/>
      <w:lvlJc w:val="left"/>
      <w:pPr>
        <w:pStyle w:val="1005"/>
        <w:ind w:left="2100" w:hanging="420"/>
      </w:pPr>
    </w:lvl>
    <w:lvl w:ilvl="5">
      <w:start w:val="1"/>
      <w:numFmt w:val="lowerRoman"/>
      <w:isLgl w:val="false"/>
      <w:suff w:val="tab"/>
      <w:lvlText w:val="%6."/>
      <w:lvlJc w:val="right"/>
      <w:pPr>
        <w:pStyle w:val="1005"/>
        <w:ind w:left="2520" w:hanging="420"/>
      </w:pPr>
    </w:lvl>
    <w:lvl w:ilvl="6">
      <w:start w:val="1"/>
      <w:numFmt w:val="decimal"/>
      <w:isLgl w:val="false"/>
      <w:suff w:val="tab"/>
      <w:lvlText w:val="%7."/>
      <w:lvlJc w:val="left"/>
      <w:pPr>
        <w:pStyle w:val="1005"/>
        <w:ind w:left="2940" w:hanging="420"/>
      </w:pPr>
    </w:lvl>
    <w:lvl w:ilvl="7">
      <w:start w:val="1"/>
      <w:numFmt w:val="lowerLetter"/>
      <w:isLgl w:val="false"/>
      <w:suff w:val="tab"/>
      <w:lvlText w:val="%8)"/>
      <w:lvlJc w:val="left"/>
      <w:pPr>
        <w:pStyle w:val="1005"/>
        <w:ind w:left="3360" w:hanging="420"/>
      </w:pPr>
    </w:lvl>
    <w:lvl w:ilvl="8">
      <w:start w:val="1"/>
      <w:numFmt w:val="lowerRoman"/>
      <w:isLgl w:val="false"/>
      <w:suff w:val="tab"/>
      <w:lvlText w:val="%9."/>
      <w:lvlJc w:val="right"/>
      <w:pPr>
        <w:pStyle w:val="1005"/>
        <w:ind w:left="3780" w:hanging="420"/>
      </w:pPr>
    </w:lvl>
  </w:abstractNum>
  <w:abstractNum w:abstractNumId="8">
    <w:multiLevelType w:val="hybridMultilevel"/>
    <w:lvl w:ilvl="0">
      <w:start w:val="1"/>
      <w:numFmt w:val="decimal"/>
      <w:pStyle w:val="1290"/>
      <w:isLgl w:val="false"/>
      <w:suff w:val="tab"/>
      <w:lvlText w:val="%1"/>
      <w:lvlJc w:val="left"/>
      <w:pPr>
        <w:pStyle w:val="1005"/>
        <w:ind w:left="680" w:hanging="680"/>
      </w:pPr>
      <w:rPr>
        <w:rFonts w:hint="eastAsia" w:ascii="宋体" w:hAnsi="宋体" w:eastAsia="宋体"/>
      </w:rPr>
    </w:lvl>
    <w:lvl w:ilvl="1">
      <w:start w:val="1"/>
      <w:numFmt w:val="decimal"/>
      <w:pStyle w:val="1262"/>
      <w:isLgl w:val="false"/>
      <w:suff w:val="tab"/>
      <w:lvlText w:val="%1.%2"/>
      <w:lvlJc w:val="left"/>
      <w:pPr>
        <w:pStyle w:val="1005"/>
        <w:ind w:left="851" w:hanging="851"/>
      </w:pPr>
      <w:rPr>
        <w:rFonts w:hint="eastAsia" w:ascii="宋体" w:hAnsi="宋体" w:eastAsia="宋体"/>
        <w:color w:val="000000"/>
      </w:rPr>
    </w:lvl>
    <w:lvl w:ilvl="2">
      <w:start w:val="1"/>
      <w:numFmt w:val="decimal"/>
      <w:pStyle w:val="1335"/>
      <w:isLgl w:val="false"/>
      <w:suff w:val="tab"/>
      <w:lvlText w:val="%1.%2.%3"/>
      <w:lvlJc w:val="left"/>
      <w:pPr>
        <w:pStyle w:val="1005"/>
        <w:ind w:left="851" w:hanging="851"/>
      </w:pPr>
      <w:rPr>
        <w:rFonts w:hint="eastAsia"/>
      </w:rPr>
    </w:lvl>
    <w:lvl w:ilvl="3">
      <w:start w:val="1"/>
      <w:numFmt w:val="decimal"/>
      <w:isLgl w:val="false"/>
      <w:suff w:val="tab"/>
      <w:lvlText w:val="%1.%2.%3.%4"/>
      <w:lvlJc w:val="left"/>
      <w:pPr>
        <w:pStyle w:val="1005"/>
        <w:ind w:left="680" w:hanging="680"/>
      </w:pPr>
      <w:rPr>
        <w:rFonts w:hint="eastAsia"/>
      </w:rPr>
    </w:lvl>
    <w:lvl w:ilvl="4">
      <w:start w:val="1"/>
      <w:numFmt w:val="decimal"/>
      <w:isLgl w:val="false"/>
      <w:suff w:val="tab"/>
      <w:lvlText w:val="%1.%2.%3.%4.%5"/>
      <w:lvlJc w:val="left"/>
      <w:pPr>
        <w:pStyle w:val="1005"/>
        <w:ind w:left="680" w:hanging="680"/>
      </w:pPr>
      <w:rPr>
        <w:rFonts w:hint="eastAsia"/>
      </w:rPr>
    </w:lvl>
    <w:lvl w:ilvl="5">
      <w:start w:val="1"/>
      <w:numFmt w:val="decimal"/>
      <w:isLgl w:val="false"/>
      <w:suff w:val="tab"/>
      <w:lvlText w:val="%1.%2.%3.%4.%5.%6"/>
      <w:lvlJc w:val="left"/>
      <w:pPr>
        <w:pStyle w:val="1005"/>
        <w:ind w:left="680" w:hanging="680"/>
      </w:pPr>
      <w:rPr>
        <w:rFonts w:hint="eastAsia"/>
      </w:rPr>
    </w:lvl>
    <w:lvl w:ilvl="6">
      <w:start w:val="1"/>
      <w:numFmt w:val="decimal"/>
      <w:isLgl w:val="false"/>
      <w:suff w:val="tab"/>
      <w:lvlText w:val="%1.%2.%3.%4.%5.%6.%7"/>
      <w:lvlJc w:val="left"/>
      <w:pPr>
        <w:pStyle w:val="1005"/>
        <w:ind w:left="680" w:hanging="680"/>
      </w:pPr>
      <w:rPr>
        <w:rFonts w:hint="eastAsia"/>
      </w:rPr>
    </w:lvl>
    <w:lvl w:ilvl="7">
      <w:start w:val="1"/>
      <w:numFmt w:val="decimal"/>
      <w:isLgl w:val="false"/>
      <w:suff w:val="tab"/>
      <w:lvlText w:val="%1.%2.%3.%4.%5.%6.%7.%8"/>
      <w:lvlJc w:val="left"/>
      <w:pPr>
        <w:pStyle w:val="1005"/>
        <w:ind w:left="680" w:hanging="680"/>
      </w:pPr>
      <w:rPr>
        <w:rFonts w:hint="eastAsia"/>
      </w:rPr>
    </w:lvl>
    <w:lvl w:ilvl="8">
      <w:start w:val="1"/>
      <w:numFmt w:val="decimal"/>
      <w:isLgl w:val="false"/>
      <w:suff w:val="tab"/>
      <w:lvlText w:val="%1.%2.%3.%4.%5.%6.%7.%8.%9"/>
      <w:lvlJc w:val="left"/>
      <w:pPr>
        <w:pStyle w:val="1005"/>
        <w:ind w:left="680" w:hanging="680"/>
      </w:pPr>
      <w:rPr>
        <w:rFonts w:hint="eastAsia"/>
      </w:rPr>
    </w:lvl>
  </w:abstractNum>
  <w:abstractNum w:abstractNumId="9">
    <w:multiLevelType w:val="hybridMultilevel"/>
    <w:lvl w:ilvl="0">
      <w:start w:val="1"/>
      <w:numFmt w:val="decimal"/>
      <w:isLgl w:val="false"/>
      <w:suff w:val="tab"/>
      <w:lvlText w:val="%1"/>
      <w:lvlJc w:val="left"/>
      <w:pPr>
        <w:pStyle w:val="1005"/>
        <w:ind w:left="900" w:hanging="900"/>
        <w:tabs>
          <w:tab w:val="num" w:pos="900" w:leader="none"/>
        </w:tabs>
      </w:pPr>
      <w:rPr>
        <w:rFonts w:hint="eastAsia"/>
      </w:rPr>
    </w:lvl>
    <w:lvl w:ilvl="1">
      <w:start w:val="1"/>
      <w:numFmt w:val="decimal"/>
      <w:isLgl w:val="false"/>
      <w:suff w:val="tab"/>
      <w:lvlText w:val="%1.%2"/>
      <w:lvlJc w:val="left"/>
      <w:pPr>
        <w:pStyle w:val="10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5"/>
        <w:ind w:left="1980" w:hanging="900"/>
        <w:tabs>
          <w:tab w:val="num" w:pos="1980" w:leader="none"/>
        </w:tabs>
      </w:pPr>
      <w:rPr>
        <w:rFonts w:hint="eastAsia"/>
      </w:rPr>
    </w:lvl>
    <w:lvl w:ilvl="3">
      <w:start w:val="1"/>
      <w:numFmt w:val="decimal"/>
      <w:isLgl w:val="false"/>
      <w:suff w:val="tab"/>
      <w:lvlText w:val="%1.%2.%3.%4"/>
      <w:lvlJc w:val="left"/>
      <w:pPr>
        <w:pStyle w:val="1005"/>
        <w:ind w:left="900" w:hanging="900"/>
        <w:tabs>
          <w:tab w:val="num" w:pos="900" w:leader="none"/>
        </w:tabs>
      </w:pPr>
      <w:rPr>
        <w:rFonts w:hint="eastAsia"/>
      </w:rPr>
    </w:lvl>
    <w:lvl w:ilvl="4">
      <w:start w:val="1"/>
      <w:numFmt w:val="decimal"/>
      <w:isLgl w:val="false"/>
      <w:suff w:val="tab"/>
      <w:lvlText w:val="%1.%2.%3.%4.%5"/>
      <w:lvlJc w:val="left"/>
      <w:pPr>
        <w:pStyle w:val="1005"/>
        <w:ind w:left="900" w:hanging="900"/>
        <w:tabs>
          <w:tab w:val="num" w:pos="900" w:leader="none"/>
        </w:tabs>
      </w:pPr>
      <w:rPr>
        <w:rFonts w:hint="eastAsia"/>
      </w:rPr>
    </w:lvl>
    <w:lvl w:ilvl="5">
      <w:start w:val="1"/>
      <w:numFmt w:val="decimal"/>
      <w:isLgl w:val="false"/>
      <w:suff w:val="tab"/>
      <w:lvlText w:val="%1.%2.%3.%4.%5.%6"/>
      <w:lvlJc w:val="left"/>
      <w:pPr>
        <w:pStyle w:val="1005"/>
        <w:ind w:left="900" w:hanging="900"/>
        <w:tabs>
          <w:tab w:val="num" w:pos="900" w:leader="none"/>
        </w:tabs>
      </w:pPr>
      <w:rPr>
        <w:rFonts w:hint="eastAsia"/>
      </w:rPr>
    </w:lvl>
    <w:lvl w:ilvl="6">
      <w:start w:val="1"/>
      <w:numFmt w:val="decimal"/>
      <w:isLgl w:val="false"/>
      <w:suff w:val="tab"/>
      <w:lvlText w:val="%1.%2.%3.%4.%5.%6.%7"/>
      <w:lvlJc w:val="left"/>
      <w:pPr>
        <w:pStyle w:val="1005"/>
        <w:ind w:left="900" w:hanging="900"/>
        <w:tabs>
          <w:tab w:val="num" w:pos="900" w:leader="none"/>
        </w:tabs>
      </w:pPr>
      <w:rPr>
        <w:rFonts w:hint="eastAsia"/>
      </w:rPr>
    </w:lvl>
    <w:lvl w:ilvl="7">
      <w:start w:val="1"/>
      <w:numFmt w:val="decimal"/>
      <w:isLgl w:val="false"/>
      <w:suff w:val="tab"/>
      <w:lvlText w:val="%1.%2.%3.%4.%5.%6.%7.%8"/>
      <w:lvlJc w:val="left"/>
      <w:pPr>
        <w:pStyle w:val="1005"/>
        <w:ind w:left="900" w:hanging="900"/>
        <w:tabs>
          <w:tab w:val="num" w:pos="900" w:leader="none"/>
        </w:tabs>
      </w:pPr>
      <w:rPr>
        <w:rFonts w:hint="eastAsia"/>
      </w:rPr>
    </w:lvl>
    <w:lvl w:ilvl="8">
      <w:start w:val="1"/>
      <w:numFmt w:val="decimal"/>
      <w:isLgl w:val="false"/>
      <w:suff w:val="tab"/>
      <w:lvlText w:val="%1.%2.%3.%4.%5.%6.%7.%8.%9"/>
      <w:lvlJc w:val="left"/>
      <w:pPr>
        <w:pStyle w:val="1005"/>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05"/>
        <w:ind w:left="900" w:hanging="900"/>
        <w:tabs>
          <w:tab w:val="num" w:pos="900" w:leader="none"/>
        </w:tabs>
      </w:pPr>
      <w:rPr>
        <w:rFonts w:hint="eastAsia"/>
      </w:rPr>
    </w:lvl>
    <w:lvl w:ilvl="1">
      <w:start w:val="1"/>
      <w:numFmt w:val="decimal"/>
      <w:isLgl w:val="false"/>
      <w:suff w:val="tab"/>
      <w:lvlText w:val="%1.%2"/>
      <w:lvlJc w:val="left"/>
      <w:pPr>
        <w:pStyle w:val="10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5"/>
        <w:ind w:left="1980" w:hanging="900"/>
        <w:tabs>
          <w:tab w:val="num" w:pos="1980" w:leader="none"/>
        </w:tabs>
      </w:pPr>
      <w:rPr>
        <w:rFonts w:hint="eastAsia"/>
      </w:rPr>
    </w:lvl>
    <w:lvl w:ilvl="3">
      <w:start w:val="1"/>
      <w:numFmt w:val="decimal"/>
      <w:isLgl w:val="false"/>
      <w:suff w:val="tab"/>
      <w:lvlText w:val="%1.%2.%3.%4"/>
      <w:lvlJc w:val="left"/>
      <w:pPr>
        <w:pStyle w:val="1005"/>
        <w:ind w:left="900" w:hanging="900"/>
        <w:tabs>
          <w:tab w:val="num" w:pos="900" w:leader="none"/>
        </w:tabs>
      </w:pPr>
      <w:rPr>
        <w:rFonts w:hint="eastAsia"/>
      </w:rPr>
    </w:lvl>
    <w:lvl w:ilvl="4">
      <w:start w:val="1"/>
      <w:numFmt w:val="decimal"/>
      <w:isLgl w:val="false"/>
      <w:suff w:val="tab"/>
      <w:lvlText w:val="%1.%2.%3.%4.%5"/>
      <w:lvlJc w:val="left"/>
      <w:pPr>
        <w:pStyle w:val="1005"/>
        <w:ind w:left="900" w:hanging="900"/>
        <w:tabs>
          <w:tab w:val="num" w:pos="900" w:leader="none"/>
        </w:tabs>
      </w:pPr>
      <w:rPr>
        <w:rFonts w:hint="eastAsia"/>
      </w:rPr>
    </w:lvl>
    <w:lvl w:ilvl="5">
      <w:start w:val="1"/>
      <w:numFmt w:val="decimal"/>
      <w:isLgl w:val="false"/>
      <w:suff w:val="tab"/>
      <w:lvlText w:val="%1.%2.%3.%4.%5.%6"/>
      <w:lvlJc w:val="left"/>
      <w:pPr>
        <w:pStyle w:val="1005"/>
        <w:ind w:left="900" w:hanging="900"/>
        <w:tabs>
          <w:tab w:val="num" w:pos="900" w:leader="none"/>
        </w:tabs>
      </w:pPr>
      <w:rPr>
        <w:rFonts w:hint="eastAsia"/>
      </w:rPr>
    </w:lvl>
    <w:lvl w:ilvl="6">
      <w:start w:val="1"/>
      <w:numFmt w:val="decimal"/>
      <w:isLgl w:val="false"/>
      <w:suff w:val="tab"/>
      <w:lvlText w:val="%1.%2.%3.%4.%5.%6.%7"/>
      <w:lvlJc w:val="left"/>
      <w:pPr>
        <w:pStyle w:val="1005"/>
        <w:ind w:left="900" w:hanging="900"/>
        <w:tabs>
          <w:tab w:val="num" w:pos="900" w:leader="none"/>
        </w:tabs>
      </w:pPr>
      <w:rPr>
        <w:rFonts w:hint="eastAsia"/>
      </w:rPr>
    </w:lvl>
    <w:lvl w:ilvl="7">
      <w:start w:val="1"/>
      <w:numFmt w:val="decimal"/>
      <w:isLgl w:val="false"/>
      <w:suff w:val="tab"/>
      <w:lvlText w:val="%1.%2.%3.%4.%5.%6.%7.%8"/>
      <w:lvlJc w:val="left"/>
      <w:pPr>
        <w:pStyle w:val="1005"/>
        <w:ind w:left="900" w:hanging="900"/>
        <w:tabs>
          <w:tab w:val="num" w:pos="900" w:leader="none"/>
        </w:tabs>
      </w:pPr>
      <w:rPr>
        <w:rFonts w:hint="eastAsia"/>
      </w:rPr>
    </w:lvl>
    <w:lvl w:ilvl="8">
      <w:start w:val="1"/>
      <w:numFmt w:val="decimal"/>
      <w:isLgl w:val="false"/>
      <w:suff w:val="tab"/>
      <w:lvlText w:val="%1.%2.%3.%4.%5.%6.%7.%8.%9"/>
      <w:lvlJc w:val="left"/>
      <w:pPr>
        <w:pStyle w:val="1005"/>
        <w:ind w:left="900" w:hanging="900"/>
        <w:tabs>
          <w:tab w:val="num" w:pos="900" w:leader="none"/>
        </w:tabs>
      </w:pPr>
      <w:rPr>
        <w:rFonts w:hint="eastAsia"/>
      </w:rPr>
    </w:lvl>
  </w:abstractNum>
  <w:abstractNum w:abstractNumId="11">
    <w:multiLevelType w:val="hybridMultilevel"/>
    <w:lvl w:ilvl="0">
      <w:start w:val="1"/>
      <w:numFmt w:val="bullet"/>
      <w:pStyle w:val="1260"/>
      <w:isLgl w:val="false"/>
      <w:suff w:val="tab"/>
      <w:lvlText w:val=""/>
      <w:lvlJc w:val="left"/>
      <w:pPr>
        <w:pStyle w:val="1005"/>
        <w:ind w:left="902" w:hanging="420"/>
      </w:pPr>
      <w:rPr>
        <w:rFonts w:ascii="Wingdings" w:hAnsi="Wingdings"/>
      </w:rPr>
    </w:lvl>
    <w:lvl w:ilvl="1">
      <w:start w:val="1"/>
      <w:numFmt w:val="bullet"/>
      <w:isLgl w:val="false"/>
      <w:suff w:val="tab"/>
      <w:lvlText w:val=""/>
      <w:lvlJc w:val="left"/>
      <w:pPr>
        <w:pStyle w:val="1005"/>
        <w:ind w:left="840" w:hanging="420"/>
      </w:pPr>
      <w:rPr>
        <w:rFonts w:ascii="Wingdings" w:hAnsi="Wingdings"/>
      </w:rPr>
    </w:lvl>
    <w:lvl w:ilvl="2">
      <w:start w:val="1"/>
      <w:numFmt w:val="bullet"/>
      <w:isLgl w:val="false"/>
      <w:suff w:val="tab"/>
      <w:lvlText w:val=""/>
      <w:lvlJc w:val="left"/>
      <w:pPr>
        <w:pStyle w:val="1005"/>
        <w:ind w:left="1260" w:hanging="420"/>
      </w:pPr>
      <w:rPr>
        <w:rFonts w:ascii="Wingdings" w:hAnsi="Wingdings"/>
      </w:rPr>
    </w:lvl>
    <w:lvl w:ilvl="3">
      <w:start w:val="1"/>
      <w:numFmt w:val="bullet"/>
      <w:isLgl w:val="false"/>
      <w:suff w:val="tab"/>
      <w:lvlText w:val=""/>
      <w:lvlJc w:val="left"/>
      <w:pPr>
        <w:pStyle w:val="1005"/>
        <w:ind w:left="1680" w:hanging="420"/>
      </w:pPr>
      <w:rPr>
        <w:rFonts w:ascii="Wingdings" w:hAnsi="Wingdings"/>
      </w:rPr>
    </w:lvl>
    <w:lvl w:ilvl="4">
      <w:start w:val="1"/>
      <w:numFmt w:val="bullet"/>
      <w:isLgl w:val="false"/>
      <w:suff w:val="tab"/>
      <w:lvlText w:val=""/>
      <w:lvlJc w:val="left"/>
      <w:pPr>
        <w:pStyle w:val="1005"/>
        <w:ind w:left="2100" w:hanging="420"/>
      </w:pPr>
      <w:rPr>
        <w:rFonts w:ascii="Wingdings" w:hAnsi="Wingdings"/>
      </w:rPr>
    </w:lvl>
    <w:lvl w:ilvl="5">
      <w:start w:val="1"/>
      <w:numFmt w:val="bullet"/>
      <w:isLgl w:val="false"/>
      <w:suff w:val="tab"/>
      <w:lvlText w:val=""/>
      <w:lvlJc w:val="left"/>
      <w:pPr>
        <w:pStyle w:val="1005"/>
        <w:ind w:left="2520" w:hanging="420"/>
      </w:pPr>
      <w:rPr>
        <w:rFonts w:ascii="Wingdings" w:hAnsi="Wingdings"/>
      </w:rPr>
    </w:lvl>
    <w:lvl w:ilvl="6">
      <w:start w:val="1"/>
      <w:numFmt w:val="bullet"/>
      <w:isLgl w:val="false"/>
      <w:suff w:val="tab"/>
      <w:lvlText w:val=""/>
      <w:lvlJc w:val="left"/>
      <w:pPr>
        <w:pStyle w:val="1005"/>
        <w:ind w:left="2940" w:hanging="420"/>
      </w:pPr>
      <w:rPr>
        <w:rFonts w:ascii="Wingdings" w:hAnsi="Wingdings"/>
      </w:rPr>
    </w:lvl>
    <w:lvl w:ilvl="7">
      <w:start w:val="1"/>
      <w:numFmt w:val="bullet"/>
      <w:isLgl w:val="false"/>
      <w:suff w:val="tab"/>
      <w:lvlText w:val=""/>
      <w:lvlJc w:val="left"/>
      <w:pPr>
        <w:pStyle w:val="1005"/>
        <w:ind w:left="3360" w:hanging="420"/>
      </w:pPr>
      <w:rPr>
        <w:rFonts w:ascii="Wingdings" w:hAnsi="Wingdings"/>
      </w:rPr>
    </w:lvl>
    <w:lvl w:ilvl="8">
      <w:start w:val="1"/>
      <w:numFmt w:val="bullet"/>
      <w:isLgl w:val="false"/>
      <w:suff w:val="tab"/>
      <w:lvlText w:val=""/>
      <w:lvlJc w:val="left"/>
      <w:pPr>
        <w:pStyle w:val="1005"/>
        <w:ind w:left="3780" w:hanging="420"/>
      </w:pPr>
      <w:rPr>
        <w:rFonts w:ascii="Wingdings" w:hAnsi="Wingdings"/>
      </w:rPr>
    </w:lvl>
  </w:abstractNum>
  <w:abstractNum w:abstractNumId="12">
    <w:multiLevelType w:val="hybridMultilevel"/>
    <w:lvl w:ilvl="0">
      <w:start w:val="1"/>
      <w:numFmt w:val="decimal"/>
      <w:isLgl w:val="false"/>
      <w:suff w:val="tab"/>
      <w:lvlText w:val="%1"/>
      <w:lvlJc w:val="left"/>
      <w:pPr>
        <w:pStyle w:val="1005"/>
        <w:ind w:left="900" w:hanging="900"/>
        <w:tabs>
          <w:tab w:val="num" w:pos="900" w:leader="none"/>
        </w:tabs>
      </w:pPr>
      <w:rPr>
        <w:rFonts w:hint="eastAsia"/>
      </w:rPr>
    </w:lvl>
    <w:lvl w:ilvl="1">
      <w:start w:val="1"/>
      <w:numFmt w:val="decimal"/>
      <w:isLgl w:val="false"/>
      <w:suff w:val="tab"/>
      <w:lvlText w:val="%1.%2"/>
      <w:lvlJc w:val="left"/>
      <w:pPr>
        <w:pStyle w:val="10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5"/>
        <w:ind w:left="1980" w:hanging="900"/>
        <w:tabs>
          <w:tab w:val="num" w:pos="1980" w:leader="none"/>
        </w:tabs>
      </w:pPr>
      <w:rPr>
        <w:rFonts w:hint="eastAsia"/>
      </w:rPr>
    </w:lvl>
    <w:lvl w:ilvl="3">
      <w:start w:val="1"/>
      <w:numFmt w:val="decimal"/>
      <w:isLgl w:val="false"/>
      <w:suff w:val="tab"/>
      <w:lvlText w:val="%1.%2.%3.%4"/>
      <w:lvlJc w:val="left"/>
      <w:pPr>
        <w:pStyle w:val="1005"/>
        <w:ind w:left="900" w:hanging="900"/>
        <w:tabs>
          <w:tab w:val="num" w:pos="900" w:leader="none"/>
        </w:tabs>
      </w:pPr>
      <w:rPr>
        <w:rFonts w:hint="eastAsia"/>
      </w:rPr>
    </w:lvl>
    <w:lvl w:ilvl="4">
      <w:start w:val="1"/>
      <w:numFmt w:val="decimal"/>
      <w:isLgl w:val="false"/>
      <w:suff w:val="tab"/>
      <w:lvlText w:val="%1.%2.%3.%4.%5"/>
      <w:lvlJc w:val="left"/>
      <w:pPr>
        <w:pStyle w:val="1005"/>
        <w:ind w:left="900" w:hanging="900"/>
        <w:tabs>
          <w:tab w:val="num" w:pos="900" w:leader="none"/>
        </w:tabs>
      </w:pPr>
      <w:rPr>
        <w:rFonts w:hint="eastAsia"/>
      </w:rPr>
    </w:lvl>
    <w:lvl w:ilvl="5">
      <w:start w:val="1"/>
      <w:numFmt w:val="decimal"/>
      <w:isLgl w:val="false"/>
      <w:suff w:val="tab"/>
      <w:lvlText w:val="%1.%2.%3.%4.%5.%6"/>
      <w:lvlJc w:val="left"/>
      <w:pPr>
        <w:pStyle w:val="1005"/>
        <w:ind w:left="900" w:hanging="900"/>
        <w:tabs>
          <w:tab w:val="num" w:pos="900" w:leader="none"/>
        </w:tabs>
      </w:pPr>
      <w:rPr>
        <w:rFonts w:hint="eastAsia"/>
      </w:rPr>
    </w:lvl>
    <w:lvl w:ilvl="6">
      <w:start w:val="1"/>
      <w:numFmt w:val="decimal"/>
      <w:isLgl w:val="false"/>
      <w:suff w:val="tab"/>
      <w:lvlText w:val="%1.%2.%3.%4.%5.%6.%7"/>
      <w:lvlJc w:val="left"/>
      <w:pPr>
        <w:pStyle w:val="1005"/>
        <w:ind w:left="900" w:hanging="900"/>
        <w:tabs>
          <w:tab w:val="num" w:pos="900" w:leader="none"/>
        </w:tabs>
      </w:pPr>
      <w:rPr>
        <w:rFonts w:hint="eastAsia"/>
      </w:rPr>
    </w:lvl>
    <w:lvl w:ilvl="7">
      <w:start w:val="1"/>
      <w:numFmt w:val="decimal"/>
      <w:isLgl w:val="false"/>
      <w:suff w:val="tab"/>
      <w:lvlText w:val="%1.%2.%3.%4.%5.%6.%7.%8"/>
      <w:lvlJc w:val="left"/>
      <w:pPr>
        <w:pStyle w:val="1005"/>
        <w:ind w:left="900" w:hanging="900"/>
        <w:tabs>
          <w:tab w:val="num" w:pos="900" w:leader="none"/>
        </w:tabs>
      </w:pPr>
      <w:rPr>
        <w:rFonts w:hint="eastAsia"/>
      </w:rPr>
    </w:lvl>
    <w:lvl w:ilvl="8">
      <w:start w:val="1"/>
      <w:numFmt w:val="decimal"/>
      <w:isLgl w:val="false"/>
      <w:suff w:val="tab"/>
      <w:lvlText w:val="%1.%2.%3.%4.%5.%6.%7.%8.%9"/>
      <w:lvlJc w:val="left"/>
      <w:pPr>
        <w:pStyle w:val="1005"/>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05"/>
        <w:ind w:left="900" w:hanging="900"/>
        <w:tabs>
          <w:tab w:val="num" w:pos="900" w:leader="none"/>
        </w:tabs>
      </w:pPr>
      <w:rPr>
        <w:rFonts w:hint="eastAsia"/>
      </w:rPr>
    </w:lvl>
    <w:lvl w:ilvl="1">
      <w:start w:val="1"/>
      <w:numFmt w:val="decimal"/>
      <w:isLgl w:val="false"/>
      <w:suff w:val="tab"/>
      <w:lvlText w:val="%1.%2"/>
      <w:lvlJc w:val="left"/>
      <w:pPr>
        <w:pStyle w:val="10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5"/>
        <w:ind w:left="1980" w:hanging="900"/>
        <w:tabs>
          <w:tab w:val="num" w:pos="1980" w:leader="none"/>
        </w:tabs>
      </w:pPr>
      <w:rPr>
        <w:rFonts w:hint="eastAsia"/>
      </w:rPr>
    </w:lvl>
    <w:lvl w:ilvl="3">
      <w:start w:val="1"/>
      <w:numFmt w:val="decimal"/>
      <w:isLgl w:val="false"/>
      <w:suff w:val="tab"/>
      <w:lvlText w:val="%1.%2.%3.%4"/>
      <w:lvlJc w:val="left"/>
      <w:pPr>
        <w:pStyle w:val="1005"/>
        <w:ind w:left="900" w:hanging="900"/>
        <w:tabs>
          <w:tab w:val="num" w:pos="900" w:leader="none"/>
        </w:tabs>
      </w:pPr>
      <w:rPr>
        <w:rFonts w:hint="eastAsia"/>
      </w:rPr>
    </w:lvl>
    <w:lvl w:ilvl="4">
      <w:start w:val="1"/>
      <w:numFmt w:val="decimal"/>
      <w:isLgl w:val="false"/>
      <w:suff w:val="tab"/>
      <w:lvlText w:val="%1.%2.%3.%4.%5"/>
      <w:lvlJc w:val="left"/>
      <w:pPr>
        <w:pStyle w:val="1005"/>
        <w:ind w:left="900" w:hanging="900"/>
        <w:tabs>
          <w:tab w:val="num" w:pos="900" w:leader="none"/>
        </w:tabs>
      </w:pPr>
      <w:rPr>
        <w:rFonts w:hint="eastAsia"/>
      </w:rPr>
    </w:lvl>
    <w:lvl w:ilvl="5">
      <w:start w:val="1"/>
      <w:numFmt w:val="decimal"/>
      <w:isLgl w:val="false"/>
      <w:suff w:val="tab"/>
      <w:lvlText w:val="%1.%2.%3.%4.%5.%6"/>
      <w:lvlJc w:val="left"/>
      <w:pPr>
        <w:pStyle w:val="1005"/>
        <w:ind w:left="900" w:hanging="900"/>
        <w:tabs>
          <w:tab w:val="num" w:pos="900" w:leader="none"/>
        </w:tabs>
      </w:pPr>
      <w:rPr>
        <w:rFonts w:hint="eastAsia"/>
      </w:rPr>
    </w:lvl>
    <w:lvl w:ilvl="6">
      <w:start w:val="1"/>
      <w:numFmt w:val="decimal"/>
      <w:isLgl w:val="false"/>
      <w:suff w:val="tab"/>
      <w:lvlText w:val="%1.%2.%3.%4.%5.%6.%7"/>
      <w:lvlJc w:val="left"/>
      <w:pPr>
        <w:pStyle w:val="1005"/>
        <w:ind w:left="900" w:hanging="900"/>
        <w:tabs>
          <w:tab w:val="num" w:pos="900" w:leader="none"/>
        </w:tabs>
      </w:pPr>
      <w:rPr>
        <w:rFonts w:hint="eastAsia"/>
      </w:rPr>
    </w:lvl>
    <w:lvl w:ilvl="7">
      <w:start w:val="1"/>
      <w:numFmt w:val="decimal"/>
      <w:isLgl w:val="false"/>
      <w:suff w:val="tab"/>
      <w:lvlText w:val="%1.%2.%3.%4.%5.%6.%7.%8"/>
      <w:lvlJc w:val="left"/>
      <w:pPr>
        <w:pStyle w:val="1005"/>
        <w:ind w:left="900" w:hanging="900"/>
        <w:tabs>
          <w:tab w:val="num" w:pos="900" w:leader="none"/>
        </w:tabs>
      </w:pPr>
      <w:rPr>
        <w:rFonts w:hint="eastAsia"/>
      </w:rPr>
    </w:lvl>
    <w:lvl w:ilvl="8">
      <w:start w:val="1"/>
      <w:numFmt w:val="decimal"/>
      <w:isLgl w:val="false"/>
      <w:suff w:val="tab"/>
      <w:lvlText w:val="%1.%2.%3.%4.%5.%6.%7.%8.%9"/>
      <w:lvlJc w:val="left"/>
      <w:pPr>
        <w:pStyle w:val="1005"/>
        <w:ind w:left="900" w:hanging="900"/>
        <w:tabs>
          <w:tab w:val="num" w:pos="900" w:leader="none"/>
        </w:tabs>
      </w:pPr>
      <w:rPr>
        <w:rFonts w:hint="eastAsia"/>
      </w:rPr>
    </w:lvl>
  </w:abstractNum>
  <w:abstractNum w:abstractNumId="14">
    <w:multiLevelType w:val="hybridMultilevel"/>
    <w:lvl w:ilvl="0">
      <w:start w:val="1"/>
      <w:numFmt w:val="bullet"/>
      <w:pStyle w:val="1298"/>
      <w:isLgl w:val="false"/>
      <w:suff w:val="tab"/>
      <w:lvlText w:val=""/>
      <w:lvlJc w:val="left"/>
      <w:pPr>
        <w:pStyle w:val="1005"/>
        <w:ind w:left="902" w:hanging="420"/>
      </w:pPr>
      <w:rPr>
        <w:rFonts w:ascii="Wingdings" w:hAnsi="Wingdings"/>
      </w:rPr>
    </w:lvl>
    <w:lvl w:ilvl="1">
      <w:start w:val="1"/>
      <w:numFmt w:val="bullet"/>
      <w:isLgl w:val="false"/>
      <w:suff w:val="tab"/>
      <w:lvlText w:val=""/>
      <w:lvlJc w:val="left"/>
      <w:pPr>
        <w:pStyle w:val="1005"/>
        <w:ind w:left="1322" w:hanging="420"/>
      </w:pPr>
      <w:rPr>
        <w:rFonts w:ascii="Wingdings" w:hAnsi="Wingdings"/>
      </w:rPr>
    </w:lvl>
    <w:lvl w:ilvl="2">
      <w:start w:val="1"/>
      <w:numFmt w:val="bullet"/>
      <w:isLgl w:val="false"/>
      <w:suff w:val="tab"/>
      <w:lvlText w:val=""/>
      <w:lvlJc w:val="left"/>
      <w:pPr>
        <w:pStyle w:val="1005"/>
        <w:ind w:left="1742" w:hanging="420"/>
      </w:pPr>
      <w:rPr>
        <w:rFonts w:ascii="Wingdings" w:hAnsi="Wingdings"/>
      </w:rPr>
    </w:lvl>
    <w:lvl w:ilvl="3">
      <w:start w:val="1"/>
      <w:numFmt w:val="bullet"/>
      <w:isLgl w:val="false"/>
      <w:suff w:val="tab"/>
      <w:lvlText w:val=""/>
      <w:lvlJc w:val="left"/>
      <w:pPr>
        <w:pStyle w:val="1005"/>
        <w:ind w:left="2162" w:hanging="420"/>
      </w:pPr>
      <w:rPr>
        <w:rFonts w:ascii="Wingdings" w:hAnsi="Wingdings"/>
      </w:rPr>
    </w:lvl>
    <w:lvl w:ilvl="4">
      <w:start w:val="1"/>
      <w:numFmt w:val="bullet"/>
      <w:isLgl w:val="false"/>
      <w:suff w:val="tab"/>
      <w:lvlText w:val=""/>
      <w:lvlJc w:val="left"/>
      <w:pPr>
        <w:pStyle w:val="1005"/>
        <w:ind w:left="2582" w:hanging="420"/>
      </w:pPr>
      <w:rPr>
        <w:rFonts w:ascii="Wingdings" w:hAnsi="Wingdings"/>
      </w:rPr>
    </w:lvl>
    <w:lvl w:ilvl="5">
      <w:start w:val="1"/>
      <w:numFmt w:val="bullet"/>
      <w:isLgl w:val="false"/>
      <w:suff w:val="tab"/>
      <w:lvlText w:val=""/>
      <w:lvlJc w:val="left"/>
      <w:pPr>
        <w:pStyle w:val="1005"/>
        <w:ind w:left="3002" w:hanging="420"/>
      </w:pPr>
      <w:rPr>
        <w:rFonts w:ascii="Wingdings" w:hAnsi="Wingdings"/>
      </w:rPr>
    </w:lvl>
    <w:lvl w:ilvl="6">
      <w:start w:val="1"/>
      <w:numFmt w:val="bullet"/>
      <w:isLgl w:val="false"/>
      <w:suff w:val="tab"/>
      <w:lvlText w:val=""/>
      <w:lvlJc w:val="left"/>
      <w:pPr>
        <w:pStyle w:val="1005"/>
        <w:ind w:left="3422" w:hanging="420"/>
      </w:pPr>
      <w:rPr>
        <w:rFonts w:ascii="Wingdings" w:hAnsi="Wingdings"/>
      </w:rPr>
    </w:lvl>
    <w:lvl w:ilvl="7">
      <w:start w:val="1"/>
      <w:numFmt w:val="bullet"/>
      <w:isLgl w:val="false"/>
      <w:suff w:val="tab"/>
      <w:lvlText w:val=""/>
      <w:lvlJc w:val="left"/>
      <w:pPr>
        <w:pStyle w:val="1005"/>
        <w:ind w:left="3842" w:hanging="420"/>
      </w:pPr>
      <w:rPr>
        <w:rFonts w:ascii="Wingdings" w:hAnsi="Wingdings"/>
      </w:rPr>
    </w:lvl>
    <w:lvl w:ilvl="8">
      <w:start w:val="1"/>
      <w:numFmt w:val="bullet"/>
      <w:isLgl w:val="false"/>
      <w:suff w:val="tab"/>
      <w:lvlText w:val=""/>
      <w:lvlJc w:val="left"/>
      <w:pPr>
        <w:pStyle w:val="1005"/>
        <w:ind w:left="4262" w:hanging="420"/>
      </w:pPr>
      <w:rPr>
        <w:rFonts w:ascii="Wingdings" w:hAnsi="Wingdings"/>
      </w:rPr>
    </w:lvl>
  </w:abstractNum>
  <w:num w:numId="1">
    <w:abstractNumId w:val="11"/>
  </w:num>
  <w:num w:numId="2">
    <w:abstractNumId w:val="8"/>
  </w:num>
  <w:num w:numId="3">
    <w:abstractNumId w:val="3"/>
  </w:num>
  <w:num w:numId="4">
    <w:abstractNumId w:val="2"/>
  </w:num>
  <w:num w:numId="5">
    <w:abstractNumId w:val="14"/>
  </w:num>
  <w:num w:numId="6">
    <w:abstractNumId w:val="4"/>
  </w:num>
  <w:num w:numId="7">
    <w:abstractNumId w:val="1"/>
  </w:num>
  <w:num w:numId="8">
    <w:abstractNumId w:val="7"/>
  </w:num>
  <w:num w:numId="9">
    <w:abstractNumId w:val="5"/>
  </w:num>
  <w:num w:numId="10">
    <w:abstractNumId w:val="6"/>
  </w:num>
  <w:num w:numId="11">
    <w:abstractNumId w:val="10"/>
  </w:num>
  <w:num w:numId="12">
    <w:abstractNumId w:val="0"/>
  </w:num>
  <w:num w:numId="13">
    <w:abstractNumId w:val="12"/>
  </w:num>
  <w:num w:numId="14">
    <w:abstractNumId w:val="9"/>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9">
    <w:name w:val="Heading 1"/>
    <w:basedOn w:val="1005"/>
    <w:next w:val="1005"/>
    <w:link w:val="830"/>
    <w:uiPriority w:val="9"/>
    <w:qFormat/>
    <w:pPr>
      <w:keepLines/>
      <w:keepNext/>
      <w:spacing w:before="480" w:after="200"/>
      <w:outlineLvl w:val="0"/>
    </w:pPr>
    <w:rPr>
      <w:rFonts w:ascii="Arial" w:hAnsi="Arial" w:eastAsia="Arial" w:cs="Arial"/>
      <w:sz w:val="40"/>
      <w:szCs w:val="40"/>
    </w:rPr>
  </w:style>
  <w:style w:type="character" w:styleId="830">
    <w:name w:val="Heading 1 Char"/>
    <w:link w:val="829"/>
    <w:uiPriority w:val="9"/>
    <w:rPr>
      <w:rFonts w:ascii="Arial" w:hAnsi="Arial" w:eastAsia="Arial" w:cs="Arial"/>
      <w:sz w:val="40"/>
      <w:szCs w:val="40"/>
    </w:rPr>
  </w:style>
  <w:style w:type="paragraph" w:styleId="831">
    <w:name w:val="Heading 2"/>
    <w:basedOn w:val="1005"/>
    <w:next w:val="1005"/>
    <w:link w:val="832"/>
    <w:uiPriority w:val="9"/>
    <w:unhideWhenUsed/>
    <w:qFormat/>
    <w:pPr>
      <w:keepLines/>
      <w:keepNext/>
      <w:spacing w:before="360" w:after="200"/>
      <w:outlineLvl w:val="1"/>
    </w:pPr>
    <w:rPr>
      <w:rFonts w:ascii="Arial" w:hAnsi="Arial" w:eastAsia="Arial" w:cs="Arial"/>
      <w:sz w:val="34"/>
    </w:rPr>
  </w:style>
  <w:style w:type="character" w:styleId="832">
    <w:name w:val="Heading 2 Char"/>
    <w:link w:val="831"/>
    <w:uiPriority w:val="9"/>
    <w:rPr>
      <w:rFonts w:ascii="Arial" w:hAnsi="Arial" w:eastAsia="Arial" w:cs="Arial"/>
      <w:sz w:val="34"/>
    </w:rPr>
  </w:style>
  <w:style w:type="paragraph" w:styleId="833">
    <w:name w:val="Heading 3"/>
    <w:basedOn w:val="1005"/>
    <w:next w:val="1005"/>
    <w:link w:val="834"/>
    <w:uiPriority w:val="9"/>
    <w:unhideWhenUsed/>
    <w:qFormat/>
    <w:pPr>
      <w:keepLines/>
      <w:keepNext/>
      <w:spacing w:before="320" w:after="200"/>
      <w:outlineLvl w:val="2"/>
    </w:pPr>
    <w:rPr>
      <w:rFonts w:ascii="Arial" w:hAnsi="Arial" w:eastAsia="Arial" w:cs="Arial"/>
      <w:sz w:val="30"/>
      <w:szCs w:val="30"/>
    </w:rPr>
  </w:style>
  <w:style w:type="character" w:styleId="834">
    <w:name w:val="Heading 3 Char"/>
    <w:link w:val="833"/>
    <w:uiPriority w:val="9"/>
    <w:rPr>
      <w:rFonts w:ascii="Arial" w:hAnsi="Arial" w:eastAsia="Arial" w:cs="Arial"/>
      <w:sz w:val="30"/>
      <w:szCs w:val="30"/>
    </w:rPr>
  </w:style>
  <w:style w:type="paragraph" w:styleId="835">
    <w:name w:val="Heading 4"/>
    <w:basedOn w:val="1005"/>
    <w:next w:val="1005"/>
    <w:link w:val="836"/>
    <w:uiPriority w:val="9"/>
    <w:unhideWhenUsed/>
    <w:qFormat/>
    <w:pPr>
      <w:keepLines/>
      <w:keepNext/>
      <w:spacing w:before="320" w:after="200"/>
      <w:outlineLvl w:val="3"/>
    </w:pPr>
    <w:rPr>
      <w:rFonts w:ascii="Arial" w:hAnsi="Arial" w:eastAsia="Arial" w:cs="Arial"/>
      <w:b/>
      <w:bCs/>
      <w:sz w:val="26"/>
      <w:szCs w:val="26"/>
    </w:rPr>
  </w:style>
  <w:style w:type="character" w:styleId="836">
    <w:name w:val="Heading 4 Char"/>
    <w:link w:val="835"/>
    <w:uiPriority w:val="9"/>
    <w:rPr>
      <w:rFonts w:ascii="Arial" w:hAnsi="Arial" w:eastAsia="Arial" w:cs="Arial"/>
      <w:b/>
      <w:bCs/>
      <w:sz w:val="26"/>
      <w:szCs w:val="26"/>
    </w:rPr>
  </w:style>
  <w:style w:type="paragraph" w:styleId="837">
    <w:name w:val="Heading 5"/>
    <w:basedOn w:val="1005"/>
    <w:next w:val="1005"/>
    <w:link w:val="838"/>
    <w:uiPriority w:val="9"/>
    <w:unhideWhenUsed/>
    <w:qFormat/>
    <w:pPr>
      <w:keepLines/>
      <w:keepNext/>
      <w:spacing w:before="320" w:after="200"/>
      <w:outlineLvl w:val="4"/>
    </w:pPr>
    <w:rPr>
      <w:rFonts w:ascii="Arial" w:hAnsi="Arial" w:eastAsia="Arial" w:cs="Arial"/>
      <w:b/>
      <w:bCs/>
      <w:sz w:val="24"/>
      <w:szCs w:val="24"/>
    </w:rPr>
  </w:style>
  <w:style w:type="character" w:styleId="838">
    <w:name w:val="Heading 5 Char"/>
    <w:link w:val="837"/>
    <w:uiPriority w:val="9"/>
    <w:rPr>
      <w:rFonts w:ascii="Arial" w:hAnsi="Arial" w:eastAsia="Arial" w:cs="Arial"/>
      <w:b/>
      <w:bCs/>
      <w:sz w:val="24"/>
      <w:szCs w:val="24"/>
    </w:rPr>
  </w:style>
  <w:style w:type="paragraph" w:styleId="839">
    <w:name w:val="Heading 6"/>
    <w:basedOn w:val="1005"/>
    <w:next w:val="1005"/>
    <w:link w:val="840"/>
    <w:uiPriority w:val="9"/>
    <w:unhideWhenUsed/>
    <w:qFormat/>
    <w:pPr>
      <w:keepLines/>
      <w:keepNext/>
      <w:spacing w:before="320" w:after="200"/>
      <w:outlineLvl w:val="5"/>
    </w:pPr>
    <w:rPr>
      <w:rFonts w:ascii="Arial" w:hAnsi="Arial" w:eastAsia="Arial" w:cs="Arial"/>
      <w:b/>
      <w:bCs/>
      <w:sz w:val="22"/>
      <w:szCs w:val="22"/>
    </w:rPr>
  </w:style>
  <w:style w:type="character" w:styleId="840">
    <w:name w:val="Heading 6 Char"/>
    <w:link w:val="839"/>
    <w:uiPriority w:val="9"/>
    <w:rPr>
      <w:rFonts w:ascii="Arial" w:hAnsi="Arial" w:eastAsia="Arial" w:cs="Arial"/>
      <w:b/>
      <w:bCs/>
      <w:sz w:val="22"/>
      <w:szCs w:val="22"/>
    </w:rPr>
  </w:style>
  <w:style w:type="paragraph" w:styleId="841">
    <w:name w:val="Heading 7"/>
    <w:basedOn w:val="1005"/>
    <w:next w:val="1005"/>
    <w:link w:val="842"/>
    <w:uiPriority w:val="9"/>
    <w:unhideWhenUsed/>
    <w:qFormat/>
    <w:pPr>
      <w:keepLines/>
      <w:keepNext/>
      <w:spacing w:before="320" w:after="200"/>
      <w:outlineLvl w:val="6"/>
    </w:pPr>
    <w:rPr>
      <w:rFonts w:ascii="Arial" w:hAnsi="Arial" w:eastAsia="Arial" w:cs="Arial"/>
      <w:b/>
      <w:bCs/>
      <w:i/>
      <w:iCs/>
      <w:sz w:val="22"/>
      <w:szCs w:val="22"/>
    </w:rPr>
  </w:style>
  <w:style w:type="character" w:styleId="842">
    <w:name w:val="Heading 7 Char"/>
    <w:link w:val="841"/>
    <w:uiPriority w:val="9"/>
    <w:rPr>
      <w:rFonts w:ascii="Arial" w:hAnsi="Arial" w:eastAsia="Arial" w:cs="Arial"/>
      <w:b/>
      <w:bCs/>
      <w:i/>
      <w:iCs/>
      <w:sz w:val="22"/>
      <w:szCs w:val="22"/>
    </w:rPr>
  </w:style>
  <w:style w:type="paragraph" w:styleId="843">
    <w:name w:val="Heading 8"/>
    <w:basedOn w:val="1005"/>
    <w:next w:val="1005"/>
    <w:link w:val="844"/>
    <w:uiPriority w:val="9"/>
    <w:unhideWhenUsed/>
    <w:qFormat/>
    <w:pPr>
      <w:keepLines/>
      <w:keepNext/>
      <w:spacing w:before="320" w:after="200"/>
      <w:outlineLvl w:val="7"/>
    </w:pPr>
    <w:rPr>
      <w:rFonts w:ascii="Arial" w:hAnsi="Arial" w:eastAsia="Arial" w:cs="Arial"/>
      <w:i/>
      <w:iCs/>
      <w:sz w:val="22"/>
      <w:szCs w:val="22"/>
    </w:rPr>
  </w:style>
  <w:style w:type="character" w:styleId="844">
    <w:name w:val="Heading 8 Char"/>
    <w:link w:val="843"/>
    <w:uiPriority w:val="9"/>
    <w:rPr>
      <w:rFonts w:ascii="Arial" w:hAnsi="Arial" w:eastAsia="Arial" w:cs="Arial"/>
      <w:i/>
      <w:iCs/>
      <w:sz w:val="22"/>
      <w:szCs w:val="22"/>
    </w:rPr>
  </w:style>
  <w:style w:type="paragraph" w:styleId="845">
    <w:name w:val="Heading 9"/>
    <w:basedOn w:val="1005"/>
    <w:next w:val="1005"/>
    <w:link w:val="846"/>
    <w:uiPriority w:val="9"/>
    <w:unhideWhenUsed/>
    <w:qFormat/>
    <w:pPr>
      <w:keepLines/>
      <w:keepNext/>
      <w:spacing w:before="320" w:after="200"/>
      <w:outlineLvl w:val="8"/>
    </w:pPr>
    <w:rPr>
      <w:rFonts w:ascii="Arial" w:hAnsi="Arial" w:eastAsia="Arial" w:cs="Arial"/>
      <w:i/>
      <w:iCs/>
      <w:sz w:val="21"/>
      <w:szCs w:val="21"/>
    </w:rPr>
  </w:style>
  <w:style w:type="character" w:styleId="846">
    <w:name w:val="Heading 9 Char"/>
    <w:link w:val="845"/>
    <w:uiPriority w:val="9"/>
    <w:rPr>
      <w:rFonts w:ascii="Arial" w:hAnsi="Arial" w:eastAsia="Arial" w:cs="Arial"/>
      <w:i/>
      <w:iCs/>
      <w:sz w:val="21"/>
      <w:szCs w:val="21"/>
    </w:rPr>
  </w:style>
  <w:style w:type="paragraph" w:styleId="847">
    <w:name w:val="List Paragraph"/>
    <w:basedOn w:val="1005"/>
    <w:uiPriority w:val="34"/>
    <w:qFormat/>
    <w:pPr>
      <w:contextualSpacing/>
      <w:ind w:left="720"/>
    </w:pPr>
  </w:style>
  <w:style w:type="paragraph" w:styleId="848">
    <w:name w:val="No Spacing"/>
    <w:uiPriority w:val="1"/>
    <w:qFormat/>
    <w:pPr>
      <w:spacing w:before="0" w:after="0" w:line="240" w:lineRule="auto"/>
    </w:pPr>
  </w:style>
  <w:style w:type="paragraph" w:styleId="849">
    <w:name w:val="Title"/>
    <w:basedOn w:val="1005"/>
    <w:next w:val="1005"/>
    <w:link w:val="850"/>
    <w:uiPriority w:val="10"/>
    <w:qFormat/>
    <w:pPr>
      <w:contextualSpacing/>
      <w:spacing w:before="300" w:after="200"/>
    </w:pPr>
    <w:rPr>
      <w:sz w:val="48"/>
      <w:szCs w:val="48"/>
    </w:rPr>
  </w:style>
  <w:style w:type="character" w:styleId="850">
    <w:name w:val="Title Char"/>
    <w:link w:val="849"/>
    <w:uiPriority w:val="10"/>
    <w:rPr>
      <w:sz w:val="48"/>
      <w:szCs w:val="48"/>
    </w:rPr>
  </w:style>
  <w:style w:type="paragraph" w:styleId="851">
    <w:name w:val="Subtitle"/>
    <w:basedOn w:val="1005"/>
    <w:next w:val="1005"/>
    <w:link w:val="852"/>
    <w:uiPriority w:val="11"/>
    <w:qFormat/>
    <w:pPr>
      <w:spacing w:before="200" w:after="200"/>
    </w:pPr>
    <w:rPr>
      <w:sz w:val="24"/>
      <w:szCs w:val="24"/>
    </w:rPr>
  </w:style>
  <w:style w:type="character" w:styleId="852">
    <w:name w:val="Subtitle Char"/>
    <w:link w:val="851"/>
    <w:uiPriority w:val="11"/>
    <w:rPr>
      <w:sz w:val="24"/>
      <w:szCs w:val="24"/>
    </w:rPr>
  </w:style>
  <w:style w:type="paragraph" w:styleId="853">
    <w:name w:val="Quote"/>
    <w:basedOn w:val="1005"/>
    <w:next w:val="1005"/>
    <w:link w:val="854"/>
    <w:uiPriority w:val="29"/>
    <w:qFormat/>
    <w:pPr>
      <w:ind w:left="720" w:right="720"/>
    </w:pPr>
    <w:rPr>
      <w:i/>
    </w:rPr>
  </w:style>
  <w:style w:type="character" w:styleId="854">
    <w:name w:val="Quote Char"/>
    <w:link w:val="853"/>
    <w:uiPriority w:val="29"/>
    <w:rPr>
      <w:i/>
    </w:rPr>
  </w:style>
  <w:style w:type="paragraph" w:styleId="855">
    <w:name w:val="Intense Quote"/>
    <w:basedOn w:val="1005"/>
    <w:next w:val="1005"/>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name w:val="Intense Quote Char"/>
    <w:link w:val="855"/>
    <w:uiPriority w:val="30"/>
    <w:rPr>
      <w:i/>
    </w:rPr>
  </w:style>
  <w:style w:type="paragraph" w:styleId="857">
    <w:name w:val="Header"/>
    <w:basedOn w:val="1005"/>
    <w:link w:val="1159"/>
    <w:uiPriority w:val="99"/>
    <w:unhideWhenUsed/>
    <w:pPr>
      <w:spacing w:after="0" w:line="240" w:lineRule="auto"/>
      <w:tabs>
        <w:tab w:val="center" w:pos="7143" w:leader="none"/>
        <w:tab w:val="right" w:pos="14287" w:leader="none"/>
      </w:tabs>
    </w:pPr>
  </w:style>
  <w:style w:type="paragraph" w:styleId="858">
    <w:name w:val="Footer"/>
    <w:basedOn w:val="1005"/>
    <w:link w:val="860"/>
    <w:uiPriority w:val="99"/>
    <w:unhideWhenUsed/>
    <w:pPr>
      <w:spacing w:after="0" w:line="240" w:lineRule="auto"/>
      <w:tabs>
        <w:tab w:val="center" w:pos="7143" w:leader="none"/>
        <w:tab w:val="right" w:pos="14287" w:leader="none"/>
      </w:tabs>
    </w:pPr>
  </w:style>
  <w:style w:type="paragraph" w:styleId="859">
    <w:name w:val="Caption"/>
    <w:basedOn w:val="1005"/>
    <w:next w:val="1005"/>
    <w:uiPriority w:val="35"/>
    <w:semiHidden/>
    <w:unhideWhenUsed/>
    <w:qFormat/>
    <w:pPr>
      <w:spacing w:line="276" w:lineRule="auto"/>
    </w:pPr>
    <w:rPr>
      <w:b/>
      <w:bCs/>
      <w:color w:val="4f81bd" w:themeColor="accent1"/>
      <w:sz w:val="18"/>
      <w:szCs w:val="18"/>
    </w:rPr>
  </w:style>
  <w:style w:type="character" w:styleId="860">
    <w:name w:val="Caption Char"/>
    <w:basedOn w:val="859"/>
    <w:link w:val="858"/>
    <w:uiPriority w:val="99"/>
  </w:style>
  <w:style w:type="table" w:styleId="8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Hyperlink"/>
    <w:uiPriority w:val="99"/>
    <w:unhideWhenUsed/>
    <w:rPr>
      <w:color w:val="0000ff" w:themeColor="hyperlink"/>
      <w:u w:val="single"/>
    </w:rPr>
  </w:style>
  <w:style w:type="paragraph" w:styleId="988">
    <w:name w:val="footnote text"/>
    <w:basedOn w:val="1005"/>
    <w:link w:val="989"/>
    <w:uiPriority w:val="99"/>
    <w:semiHidden/>
    <w:unhideWhenUsed/>
    <w:pPr>
      <w:spacing w:after="40" w:line="240" w:lineRule="auto"/>
    </w:pPr>
    <w:rPr>
      <w:sz w:val="18"/>
    </w:rPr>
  </w:style>
  <w:style w:type="character" w:styleId="989">
    <w:name w:val="Footnote Text Char"/>
    <w:link w:val="988"/>
    <w:uiPriority w:val="99"/>
    <w:rPr>
      <w:sz w:val="18"/>
    </w:rPr>
  </w:style>
  <w:style w:type="character" w:styleId="990">
    <w:name w:val="footnote reference"/>
    <w:uiPriority w:val="99"/>
    <w:unhideWhenUsed/>
    <w:rPr>
      <w:vertAlign w:val="superscript"/>
    </w:rPr>
  </w:style>
  <w:style w:type="paragraph" w:styleId="991">
    <w:name w:val="endnote text"/>
    <w:basedOn w:val="1005"/>
    <w:link w:val="992"/>
    <w:uiPriority w:val="99"/>
    <w:semiHidden/>
    <w:unhideWhenUsed/>
    <w:pPr>
      <w:spacing w:after="0" w:line="240" w:lineRule="auto"/>
    </w:pPr>
    <w:rPr>
      <w:sz w:val="20"/>
    </w:rPr>
  </w:style>
  <w:style w:type="character" w:styleId="992">
    <w:name w:val="Endnote Text Char"/>
    <w:link w:val="991"/>
    <w:uiPriority w:val="99"/>
    <w:rPr>
      <w:sz w:val="20"/>
    </w:rPr>
  </w:style>
  <w:style w:type="character" w:styleId="993">
    <w:name w:val="endnote reference"/>
    <w:uiPriority w:val="99"/>
    <w:semiHidden/>
    <w:unhideWhenUsed/>
    <w:rPr>
      <w:vertAlign w:val="superscript"/>
    </w:rPr>
  </w:style>
  <w:style w:type="paragraph" w:styleId="994">
    <w:name w:val="toc 1"/>
    <w:basedOn w:val="1005"/>
    <w:next w:val="1005"/>
    <w:uiPriority w:val="39"/>
    <w:unhideWhenUsed/>
    <w:pPr>
      <w:ind w:left="0" w:right="0" w:firstLine="0"/>
      <w:spacing w:after="57"/>
    </w:pPr>
  </w:style>
  <w:style w:type="paragraph" w:styleId="995">
    <w:name w:val="toc 2"/>
    <w:basedOn w:val="1005"/>
    <w:next w:val="1005"/>
    <w:uiPriority w:val="39"/>
    <w:unhideWhenUsed/>
    <w:pPr>
      <w:ind w:left="283" w:right="0" w:firstLine="0"/>
      <w:spacing w:after="57"/>
    </w:pPr>
  </w:style>
  <w:style w:type="paragraph" w:styleId="996">
    <w:name w:val="toc 3"/>
    <w:basedOn w:val="1005"/>
    <w:next w:val="1005"/>
    <w:uiPriority w:val="39"/>
    <w:unhideWhenUsed/>
    <w:pPr>
      <w:ind w:left="567" w:right="0" w:firstLine="0"/>
      <w:spacing w:after="57"/>
    </w:pPr>
  </w:style>
  <w:style w:type="paragraph" w:styleId="997">
    <w:name w:val="toc 4"/>
    <w:basedOn w:val="1005"/>
    <w:next w:val="1005"/>
    <w:uiPriority w:val="39"/>
    <w:unhideWhenUsed/>
    <w:pPr>
      <w:ind w:left="850" w:right="0" w:firstLine="0"/>
      <w:spacing w:after="57"/>
    </w:pPr>
  </w:style>
  <w:style w:type="paragraph" w:styleId="998">
    <w:name w:val="toc 5"/>
    <w:basedOn w:val="1005"/>
    <w:next w:val="1005"/>
    <w:uiPriority w:val="39"/>
    <w:unhideWhenUsed/>
    <w:pPr>
      <w:ind w:left="1134" w:right="0" w:firstLine="0"/>
      <w:spacing w:after="57"/>
    </w:pPr>
  </w:style>
  <w:style w:type="paragraph" w:styleId="999">
    <w:name w:val="toc 6"/>
    <w:basedOn w:val="1005"/>
    <w:next w:val="1005"/>
    <w:uiPriority w:val="39"/>
    <w:unhideWhenUsed/>
    <w:pPr>
      <w:ind w:left="1417" w:right="0" w:firstLine="0"/>
      <w:spacing w:after="57"/>
    </w:pPr>
  </w:style>
  <w:style w:type="paragraph" w:styleId="1000">
    <w:name w:val="toc 7"/>
    <w:basedOn w:val="1005"/>
    <w:next w:val="1005"/>
    <w:uiPriority w:val="39"/>
    <w:unhideWhenUsed/>
    <w:pPr>
      <w:ind w:left="1701" w:right="0" w:firstLine="0"/>
      <w:spacing w:after="57"/>
    </w:pPr>
  </w:style>
  <w:style w:type="paragraph" w:styleId="1001">
    <w:name w:val="toc 8"/>
    <w:basedOn w:val="1005"/>
    <w:next w:val="1005"/>
    <w:uiPriority w:val="39"/>
    <w:unhideWhenUsed/>
    <w:pPr>
      <w:ind w:left="1984" w:right="0" w:firstLine="0"/>
      <w:spacing w:after="57"/>
    </w:pPr>
  </w:style>
  <w:style w:type="paragraph" w:styleId="1002">
    <w:name w:val="toc 9"/>
    <w:basedOn w:val="1005"/>
    <w:next w:val="1005"/>
    <w:uiPriority w:val="39"/>
    <w:unhideWhenUsed/>
    <w:pPr>
      <w:ind w:left="2268" w:right="0" w:firstLine="0"/>
      <w:spacing w:after="57"/>
    </w:pPr>
  </w:style>
  <w:style w:type="paragraph" w:styleId="1003">
    <w:name w:val="TOC Heading"/>
    <w:uiPriority w:val="39"/>
    <w:unhideWhenUsed/>
  </w:style>
  <w:style w:type="paragraph" w:styleId="1004">
    <w:name w:val="table of figures"/>
    <w:basedOn w:val="1005"/>
    <w:next w:val="1005"/>
    <w:uiPriority w:val="99"/>
    <w:unhideWhenUsed/>
    <w:pPr>
      <w:spacing w:after="0" w:afterAutospacing="0"/>
    </w:pPr>
  </w:style>
  <w:style w:type="paragraph" w:styleId="1005" w:default="1">
    <w:name w:val="Normal"/>
    <w:next w:val="1005"/>
    <w:link w:val="1005"/>
    <w:qFormat/>
    <w:pPr>
      <w:jc w:val="both"/>
      <w:widowControl w:val="off"/>
    </w:pPr>
    <w:rPr>
      <w:sz w:val="21"/>
      <w:szCs w:val="24"/>
      <w:lang w:val="en-US" w:eastAsia="zh-CN" w:bidi="ar-SA"/>
    </w:rPr>
  </w:style>
  <w:style w:type="paragraph" w:styleId="1006">
    <w:name w:val="标题 1"/>
    <w:basedOn w:val="1005"/>
    <w:next w:val="1005"/>
    <w:link w:val="1017"/>
    <w:qFormat/>
    <w:pPr>
      <w:jc w:val="center"/>
      <w:keepLines/>
      <w:keepNext/>
      <w:spacing w:before="240" w:after="120" w:line="300" w:lineRule="auto"/>
      <w:outlineLvl w:val="0"/>
    </w:pPr>
    <w:rPr>
      <w:rFonts w:ascii="宋体"/>
      <w:b/>
      <w:sz w:val="32"/>
      <w:szCs w:val="20"/>
    </w:rPr>
  </w:style>
  <w:style w:type="paragraph" w:styleId="1007">
    <w:name w:val="标题 2"/>
    <w:basedOn w:val="1005"/>
    <w:next w:val="1005"/>
    <w:link w:val="1018"/>
    <w:qFormat/>
    <w:pPr>
      <w:jc w:val="center"/>
      <w:keepLines/>
      <w:keepNext/>
      <w:spacing w:before="120" w:line="300" w:lineRule="auto"/>
      <w:outlineLvl w:val="1"/>
    </w:pPr>
    <w:rPr>
      <w:rFonts w:ascii="Arial" w:hAnsi="Arial" w:eastAsia="黑体"/>
      <w:b/>
      <w:sz w:val="30"/>
      <w:szCs w:val="20"/>
    </w:rPr>
  </w:style>
  <w:style w:type="paragraph" w:styleId="1008">
    <w:name w:val="标题 3"/>
    <w:basedOn w:val="1005"/>
    <w:next w:val="1020"/>
    <w:link w:val="1019"/>
    <w:qFormat/>
    <w:pPr>
      <w:jc w:val="left"/>
      <w:keepLines/>
      <w:keepNext/>
      <w:spacing w:before="360" w:after="120"/>
      <w:outlineLvl w:val="2"/>
    </w:pPr>
    <w:rPr>
      <w:rFonts w:ascii="宋体"/>
      <w:b/>
      <w:sz w:val="24"/>
      <w:szCs w:val="20"/>
      <w:u w:val="single"/>
    </w:rPr>
  </w:style>
  <w:style w:type="paragraph" w:styleId="1009">
    <w:name w:val="标题 4"/>
    <w:basedOn w:val="1005"/>
    <w:next w:val="1005"/>
    <w:link w:val="1022"/>
    <w:qFormat/>
    <w:pPr>
      <w:keepLines/>
      <w:keepNext/>
      <w:spacing w:before="280" w:after="290" w:line="376" w:lineRule="atLeast"/>
      <w:outlineLvl w:val="3"/>
    </w:pPr>
    <w:rPr>
      <w:rFonts w:ascii="Arial" w:hAnsi="Arial" w:eastAsia="黑体"/>
      <w:b/>
      <w:sz w:val="28"/>
      <w:szCs w:val="20"/>
    </w:rPr>
  </w:style>
  <w:style w:type="paragraph" w:styleId="1010">
    <w:name w:val="标题 5"/>
    <w:basedOn w:val="1005"/>
    <w:next w:val="1005"/>
    <w:link w:val="1023"/>
    <w:qFormat/>
    <w:pPr>
      <w:keepLines/>
      <w:keepNext/>
      <w:spacing w:before="280" w:after="290" w:line="376" w:lineRule="atLeast"/>
      <w:outlineLvl w:val="4"/>
    </w:pPr>
    <w:rPr>
      <w:b/>
      <w:sz w:val="28"/>
      <w:szCs w:val="20"/>
    </w:rPr>
  </w:style>
  <w:style w:type="paragraph" w:styleId="1011">
    <w:name w:val="标题 6"/>
    <w:basedOn w:val="1005"/>
    <w:next w:val="1005"/>
    <w:link w:val="1024"/>
    <w:qFormat/>
    <w:pPr>
      <w:keepLines/>
      <w:keepNext/>
      <w:spacing w:before="240" w:after="64" w:line="320" w:lineRule="atLeast"/>
      <w:outlineLvl w:val="5"/>
    </w:pPr>
    <w:rPr>
      <w:rFonts w:ascii="Arial" w:hAnsi="Arial" w:eastAsia="黑体"/>
      <w:b/>
      <w:sz w:val="24"/>
      <w:szCs w:val="20"/>
    </w:rPr>
  </w:style>
  <w:style w:type="paragraph" w:styleId="1012">
    <w:name w:val="标题 7"/>
    <w:basedOn w:val="1005"/>
    <w:next w:val="1005"/>
    <w:link w:val="1025"/>
    <w:qFormat/>
    <w:pPr>
      <w:keepLines/>
      <w:keepNext/>
      <w:spacing w:before="240" w:after="64" w:line="320" w:lineRule="atLeast"/>
      <w:outlineLvl w:val="6"/>
    </w:pPr>
    <w:rPr>
      <w:b/>
      <w:sz w:val="24"/>
      <w:szCs w:val="20"/>
    </w:rPr>
  </w:style>
  <w:style w:type="paragraph" w:styleId="1013">
    <w:name w:val="标题 8"/>
    <w:basedOn w:val="1005"/>
    <w:next w:val="1005"/>
    <w:link w:val="1026"/>
    <w:qFormat/>
    <w:pPr>
      <w:keepLines/>
      <w:keepNext/>
      <w:spacing w:before="240" w:after="64" w:line="320" w:lineRule="atLeast"/>
      <w:outlineLvl w:val="7"/>
    </w:pPr>
    <w:rPr>
      <w:rFonts w:ascii="Arial" w:hAnsi="Arial" w:eastAsia="黑体"/>
      <w:sz w:val="24"/>
      <w:szCs w:val="20"/>
    </w:rPr>
  </w:style>
  <w:style w:type="paragraph" w:styleId="1014">
    <w:name w:val="标题 9"/>
    <w:basedOn w:val="1005"/>
    <w:next w:val="1005"/>
    <w:link w:val="1027"/>
    <w:qFormat/>
    <w:pPr>
      <w:keepLines/>
      <w:keepNext/>
      <w:spacing w:before="240" w:after="64" w:line="320" w:lineRule="atLeast"/>
      <w:outlineLvl w:val="8"/>
    </w:pPr>
    <w:rPr>
      <w:rFonts w:ascii="Arial" w:hAnsi="Arial" w:eastAsia="黑体"/>
      <w:szCs w:val="20"/>
    </w:rPr>
  </w:style>
  <w:style w:type="character" w:styleId="1015">
    <w:name w:val="默认段落字体"/>
    <w:next w:val="1015"/>
    <w:link w:val="1005"/>
    <w:uiPriority w:val="1"/>
    <w:unhideWhenUsed/>
    <w:qFormat/>
  </w:style>
  <w:style w:type="table" w:styleId="1016">
    <w:name w:val="普通表格"/>
    <w:next w:val="1016"/>
    <w:link w:val="1005"/>
    <w:uiPriority w:val="99"/>
    <w:unhideWhenUsed/>
    <w:qFormat/>
    <w:tblPr/>
  </w:style>
  <w:style w:type="character" w:styleId="1017">
    <w:name w:val="标题 1 Char"/>
    <w:next w:val="1017"/>
    <w:link w:val="1006"/>
    <w:qFormat/>
    <w:rPr>
      <w:rFonts w:ascii="宋体"/>
      <w:b/>
      <w:sz w:val="32"/>
    </w:rPr>
  </w:style>
  <w:style w:type="character" w:styleId="1018">
    <w:name w:val="标题 2 Char1"/>
    <w:next w:val="1018"/>
    <w:link w:val="1007"/>
    <w:qFormat/>
    <w:rPr>
      <w:rFonts w:ascii="Arial" w:hAnsi="Arial" w:eastAsia="黑体"/>
      <w:b/>
      <w:sz w:val="30"/>
      <w:lang w:val="en-US" w:eastAsia="zh-CN" w:bidi="ar-SA"/>
    </w:rPr>
  </w:style>
  <w:style w:type="character" w:styleId="1019">
    <w:name w:val="标题 3 Char1"/>
    <w:next w:val="1019"/>
    <w:link w:val="1008"/>
    <w:qFormat/>
    <w:rPr>
      <w:rFonts w:ascii="宋体" w:eastAsia="宋体"/>
      <w:b/>
      <w:sz w:val="24"/>
      <w:u w:val="single"/>
      <w:lang w:val="en-US" w:eastAsia="zh-CN" w:bidi="ar-SA"/>
    </w:rPr>
  </w:style>
  <w:style w:type="paragraph" w:styleId="1020">
    <w:name w:val="正文缩进"/>
    <w:basedOn w:val="1005"/>
    <w:next w:val="1020"/>
    <w:link w:val="1021"/>
    <w:qFormat/>
    <w:pPr>
      <w:ind w:firstLine="420"/>
      <w:jc w:val="left"/>
    </w:pPr>
    <w:rPr>
      <w:rFonts w:ascii="宋体"/>
      <w:sz w:val="24"/>
    </w:rPr>
  </w:style>
  <w:style w:type="character" w:styleId="1021">
    <w:name w:val="正文缩进 Char1"/>
    <w:next w:val="1021"/>
    <w:link w:val="1020"/>
    <w:qFormat/>
    <w:rPr>
      <w:rFonts w:ascii="宋体" w:eastAsia="宋体"/>
      <w:sz w:val="24"/>
      <w:szCs w:val="24"/>
      <w:lang w:val="en-US" w:eastAsia="zh-CN" w:bidi="ar-SA"/>
    </w:rPr>
  </w:style>
  <w:style w:type="character" w:styleId="1022">
    <w:name w:val="标题 4 Char"/>
    <w:next w:val="1022"/>
    <w:link w:val="1009"/>
    <w:qFormat/>
    <w:rPr>
      <w:rFonts w:ascii="Arial" w:hAnsi="Arial" w:eastAsia="黑体"/>
      <w:b/>
      <w:sz w:val="28"/>
    </w:rPr>
  </w:style>
  <w:style w:type="character" w:styleId="1023">
    <w:name w:val="标题 5 Char"/>
    <w:next w:val="1023"/>
    <w:link w:val="1010"/>
    <w:qFormat/>
    <w:rPr>
      <w:b/>
      <w:sz w:val="28"/>
    </w:rPr>
  </w:style>
  <w:style w:type="character" w:styleId="1024">
    <w:name w:val="标题 6 Char"/>
    <w:next w:val="1024"/>
    <w:link w:val="1011"/>
    <w:qFormat/>
    <w:rPr>
      <w:rFonts w:ascii="Arial" w:hAnsi="Arial" w:eastAsia="黑体"/>
      <w:b/>
      <w:sz w:val="24"/>
    </w:rPr>
  </w:style>
  <w:style w:type="character" w:styleId="1025">
    <w:name w:val="标题 7 Char"/>
    <w:next w:val="1025"/>
    <w:link w:val="1012"/>
    <w:qFormat/>
    <w:rPr>
      <w:b/>
      <w:sz w:val="24"/>
    </w:rPr>
  </w:style>
  <w:style w:type="character" w:styleId="1026">
    <w:name w:val="标题 8 Char"/>
    <w:next w:val="1026"/>
    <w:link w:val="1013"/>
    <w:qFormat/>
    <w:rPr>
      <w:rFonts w:ascii="Arial" w:hAnsi="Arial" w:eastAsia="黑体"/>
      <w:sz w:val="24"/>
    </w:rPr>
  </w:style>
  <w:style w:type="character" w:styleId="1027">
    <w:name w:val="标题 9 Char"/>
    <w:next w:val="1027"/>
    <w:link w:val="1014"/>
    <w:qFormat/>
    <w:rPr>
      <w:rFonts w:ascii="Arial" w:hAnsi="Arial" w:eastAsia="黑体"/>
      <w:sz w:val="21"/>
    </w:rPr>
  </w:style>
  <w:style w:type="paragraph" w:styleId="1028">
    <w:name w:val="列表 3"/>
    <w:basedOn w:val="1005"/>
    <w:next w:val="1028"/>
    <w:link w:val="1005"/>
    <w:pPr>
      <w:ind w:left="100" w:hanging="200"/>
    </w:pPr>
    <w:rPr>
      <w:rFonts w:eastAsia="楷体_GB2312"/>
      <w:sz w:val="26"/>
      <w:szCs w:val="20"/>
    </w:rPr>
  </w:style>
  <w:style w:type="paragraph" w:styleId="1029">
    <w:name w:val="目录 7"/>
    <w:basedOn w:val="1005"/>
    <w:next w:val="1005"/>
    <w:link w:val="1005"/>
    <w:qFormat/>
    <w:pPr>
      <w:ind w:left="2520"/>
    </w:pPr>
  </w:style>
  <w:style w:type="paragraph" w:styleId="1030">
    <w:name w:val="题注"/>
    <w:basedOn w:val="1005"/>
    <w:next w:val="1005"/>
    <w:link w:val="1005"/>
    <w:qFormat/>
    <w:pPr>
      <w:spacing w:line="480" w:lineRule="auto"/>
    </w:pPr>
    <w:rPr>
      <w:rFonts w:ascii="华文中宋" w:hAnsi="华文中宋" w:eastAsia="华文中宋"/>
      <w:sz w:val="36"/>
      <w:szCs w:val="20"/>
    </w:rPr>
  </w:style>
  <w:style w:type="paragraph" w:styleId="1031">
    <w:name w:val="文档结构图"/>
    <w:basedOn w:val="1005"/>
    <w:next w:val="1031"/>
    <w:link w:val="1032"/>
    <w:qFormat/>
    <w:pPr>
      <w:shd w:val="clear" w:color="auto" w:fill="000080"/>
    </w:pPr>
  </w:style>
  <w:style w:type="character" w:styleId="1032">
    <w:name w:val="文档结构图 Char"/>
    <w:next w:val="1032"/>
    <w:link w:val="1031"/>
    <w:qFormat/>
    <w:rPr>
      <w:sz w:val="21"/>
      <w:szCs w:val="24"/>
      <w:shd w:val="clear" w:color="auto" w:fill="000080"/>
    </w:rPr>
  </w:style>
  <w:style w:type="paragraph" w:styleId="1033">
    <w:name w:val="批注文字"/>
    <w:basedOn w:val="1005"/>
    <w:next w:val="1033"/>
    <w:link w:val="1034"/>
    <w:uiPriority w:val="99"/>
    <w:qFormat/>
    <w:pPr>
      <w:jc w:val="left"/>
    </w:pPr>
  </w:style>
  <w:style w:type="character" w:styleId="1034">
    <w:name w:val="批注文字 Char1"/>
    <w:next w:val="1034"/>
    <w:link w:val="1033"/>
    <w:uiPriority w:val="99"/>
    <w:qFormat/>
    <w:rPr>
      <w:sz w:val="21"/>
      <w:szCs w:val="24"/>
    </w:rPr>
  </w:style>
  <w:style w:type="paragraph" w:styleId="1035">
    <w:name w:val="正文文本 3"/>
    <w:basedOn w:val="1005"/>
    <w:next w:val="1035"/>
    <w:link w:val="1036"/>
    <w:qFormat/>
    <w:pPr>
      <w:spacing w:after="120"/>
    </w:pPr>
    <w:rPr>
      <w:sz w:val="16"/>
      <w:szCs w:val="16"/>
    </w:rPr>
  </w:style>
  <w:style w:type="character" w:styleId="1036">
    <w:name w:val="正文文本 3 Char"/>
    <w:next w:val="1036"/>
    <w:link w:val="1035"/>
    <w:qFormat/>
    <w:rPr>
      <w:sz w:val="16"/>
      <w:szCs w:val="16"/>
    </w:rPr>
  </w:style>
  <w:style w:type="paragraph" w:styleId="1037">
    <w:name w:val="正文文本"/>
    <w:basedOn w:val="1005"/>
    <w:next w:val="1037"/>
    <w:link w:val="1038"/>
    <w:qFormat/>
    <w:pPr>
      <w:spacing w:before="120" w:line="22" w:lineRule="atLeast"/>
      <w:tabs>
        <w:tab w:val="left" w:pos="567" w:leader="none"/>
      </w:tabs>
    </w:pPr>
    <w:rPr>
      <w:rFonts w:ascii="宋体" w:hAnsi="宋体"/>
      <w:sz w:val="24"/>
    </w:rPr>
  </w:style>
  <w:style w:type="character" w:styleId="1038">
    <w:name w:val="正文文本 Char"/>
    <w:next w:val="1038"/>
    <w:link w:val="1037"/>
    <w:qFormat/>
    <w:rPr>
      <w:rFonts w:ascii="宋体" w:hAnsi="宋体"/>
      <w:sz w:val="24"/>
      <w:szCs w:val="24"/>
    </w:rPr>
  </w:style>
  <w:style w:type="paragraph" w:styleId="1039">
    <w:name w:val="正文文本缩进"/>
    <w:basedOn w:val="1005"/>
    <w:next w:val="1039"/>
    <w:link w:val="1040"/>
    <w:qFormat/>
    <w:pPr>
      <w:ind w:firstLine="570"/>
      <w:spacing w:line="360" w:lineRule="auto"/>
    </w:pPr>
    <w:rPr>
      <w:sz w:val="24"/>
    </w:rPr>
  </w:style>
  <w:style w:type="character" w:styleId="1040">
    <w:name w:val="正文文本缩进 Char2"/>
    <w:next w:val="1040"/>
    <w:link w:val="1039"/>
    <w:qFormat/>
    <w:rPr>
      <w:rFonts w:eastAsia="宋体"/>
      <w:sz w:val="24"/>
      <w:szCs w:val="24"/>
      <w:lang w:val="en-US" w:eastAsia="zh-CN" w:bidi="ar-SA"/>
    </w:rPr>
  </w:style>
  <w:style w:type="paragraph" w:styleId="1041">
    <w:name w:val="列表 2"/>
    <w:basedOn w:val="1005"/>
    <w:next w:val="1041"/>
    <w:link w:val="1005"/>
    <w:qFormat/>
    <w:pPr>
      <w:ind w:left="100" w:hanging="200"/>
    </w:pPr>
  </w:style>
  <w:style w:type="paragraph" w:styleId="1042">
    <w:name w:val="文本块"/>
    <w:basedOn w:val="1005"/>
    <w:next w:val="1042"/>
    <w:link w:val="1005"/>
    <w:qFormat/>
    <w:pPr>
      <w:ind w:left="480" w:right="-341" w:firstLine="513"/>
      <w:widowControl/>
    </w:pPr>
    <w:rPr>
      <w:sz w:val="24"/>
      <w:szCs w:val="20"/>
    </w:rPr>
  </w:style>
  <w:style w:type="paragraph" w:styleId="1043">
    <w:name w:val="目录 5"/>
    <w:basedOn w:val="1005"/>
    <w:next w:val="1005"/>
    <w:link w:val="1005"/>
    <w:qFormat/>
    <w:pPr>
      <w:ind w:left="1680"/>
    </w:pPr>
  </w:style>
  <w:style w:type="paragraph" w:styleId="1044">
    <w:name w:val="目录 3"/>
    <w:basedOn w:val="1005"/>
    <w:next w:val="1005"/>
    <w:link w:val="1005"/>
    <w:uiPriority w:val="39"/>
    <w:qFormat/>
    <w:pPr>
      <w:ind w:left="840"/>
    </w:pPr>
  </w:style>
  <w:style w:type="paragraph" w:styleId="1045">
    <w:name w:val="纯文本"/>
    <w:basedOn w:val="1005"/>
    <w:next w:val="1045"/>
    <w:link w:val="1046"/>
    <w:uiPriority w:val="99"/>
    <w:qFormat/>
    <w:rPr>
      <w:rFonts w:hint="eastAsia" w:ascii="宋体" w:hAnsi="Courier New"/>
      <w:szCs w:val="20"/>
    </w:rPr>
  </w:style>
  <w:style w:type="character" w:styleId="1046">
    <w:name w:val="纯文本 Char2"/>
    <w:next w:val="1046"/>
    <w:link w:val="1045"/>
    <w:uiPriority w:val="99"/>
    <w:qFormat/>
    <w:rPr>
      <w:rFonts w:hint="eastAsia" w:ascii="宋体" w:hAnsi="Courier New" w:eastAsia="宋体" w:cs="宋体"/>
      <w:sz w:val="21"/>
    </w:rPr>
  </w:style>
  <w:style w:type="paragraph" w:styleId="1047">
    <w:name w:val="目录 8"/>
    <w:basedOn w:val="1005"/>
    <w:next w:val="1005"/>
    <w:link w:val="1005"/>
    <w:qFormat/>
    <w:pPr>
      <w:ind w:left="2940"/>
    </w:pPr>
  </w:style>
  <w:style w:type="paragraph" w:styleId="1048">
    <w:name w:val="日期"/>
    <w:basedOn w:val="1005"/>
    <w:next w:val="1005"/>
    <w:link w:val="1049"/>
    <w:qFormat/>
    <w:pPr>
      <w:ind w:left="100"/>
    </w:pPr>
    <w:rPr>
      <w:rFonts w:ascii="仿宋_GB2312" w:hAnsi="宋体" w:eastAsia="仿宋_GB2312"/>
      <w:color w:val="000000"/>
      <w:sz w:val="24"/>
    </w:rPr>
  </w:style>
  <w:style w:type="character" w:styleId="1049">
    <w:name w:val="日期 Char"/>
    <w:next w:val="1049"/>
    <w:link w:val="1048"/>
    <w:qFormat/>
    <w:rPr>
      <w:rFonts w:ascii="仿宋_GB2312" w:hAnsi="宋体" w:eastAsia="仿宋_GB2312"/>
      <w:color w:val="000000"/>
      <w:sz w:val="24"/>
      <w:szCs w:val="24"/>
    </w:rPr>
  </w:style>
  <w:style w:type="paragraph" w:styleId="1050">
    <w:name w:val="正文文本缩进 2"/>
    <w:basedOn w:val="1005"/>
    <w:next w:val="1050"/>
    <w:link w:val="1051"/>
    <w:qFormat/>
    <w:pPr>
      <w:ind w:firstLine="480"/>
    </w:pPr>
    <w:rPr>
      <w:rFonts w:ascii="仿宋_GB2312" w:eastAsia="仿宋_GB2312"/>
      <w:sz w:val="24"/>
    </w:rPr>
  </w:style>
  <w:style w:type="character" w:styleId="1051">
    <w:name w:val="正文文本缩进 2 Char"/>
    <w:next w:val="1051"/>
    <w:link w:val="1050"/>
    <w:qFormat/>
    <w:rPr>
      <w:rFonts w:ascii="仿宋_GB2312" w:eastAsia="仿宋_GB2312"/>
      <w:sz w:val="24"/>
      <w:szCs w:val="24"/>
    </w:rPr>
  </w:style>
  <w:style w:type="paragraph" w:styleId="1052">
    <w:name w:val="批注框文本"/>
    <w:basedOn w:val="1005"/>
    <w:next w:val="1052"/>
    <w:link w:val="1053"/>
    <w:qFormat/>
    <w:rPr>
      <w:sz w:val="18"/>
      <w:szCs w:val="18"/>
    </w:rPr>
  </w:style>
  <w:style w:type="character" w:styleId="1053">
    <w:name w:val="批注框文本 Char"/>
    <w:next w:val="1053"/>
    <w:link w:val="1052"/>
    <w:qFormat/>
    <w:rPr>
      <w:sz w:val="18"/>
      <w:szCs w:val="18"/>
    </w:rPr>
  </w:style>
  <w:style w:type="paragraph" w:styleId="1054">
    <w:name w:val="页脚"/>
    <w:basedOn w:val="1005"/>
    <w:next w:val="1054"/>
    <w:link w:val="1055"/>
    <w:uiPriority w:val="99"/>
    <w:qFormat/>
    <w:pPr>
      <w:jc w:val="left"/>
      <w:tabs>
        <w:tab w:val="center" w:pos="4153" w:leader="none"/>
        <w:tab w:val="right" w:pos="8306" w:leader="none"/>
      </w:tabs>
    </w:pPr>
    <w:rPr>
      <w:rFonts w:ascii="宋体"/>
      <w:sz w:val="18"/>
      <w:szCs w:val="20"/>
    </w:rPr>
  </w:style>
  <w:style w:type="character" w:styleId="1055">
    <w:name w:val="页脚 Char1"/>
    <w:next w:val="1055"/>
    <w:link w:val="1054"/>
    <w:uiPriority w:val="99"/>
    <w:qFormat/>
    <w:rPr>
      <w:rFonts w:ascii="宋体" w:eastAsia="宋体"/>
      <w:sz w:val="18"/>
      <w:lang w:val="en-US" w:eastAsia="zh-CN" w:bidi="ar-SA"/>
    </w:rPr>
  </w:style>
  <w:style w:type="paragraph" w:styleId="1056">
    <w:name w:val="页眉"/>
    <w:basedOn w:val="1005"/>
    <w:next w:val="1056"/>
    <w:link w:val="1057"/>
    <w:qFormat/>
    <w:pPr>
      <w:jc w:val="center"/>
      <w:tabs>
        <w:tab w:val="center" w:pos="4153" w:leader="none"/>
        <w:tab w:val="right" w:pos="8306" w:leader="none"/>
      </w:tabs>
      <w:pBdr>
        <w:bottom w:val="single" w:color="000000" w:sz="6" w:space="1"/>
      </w:pBdr>
    </w:pPr>
    <w:rPr>
      <w:sz w:val="18"/>
      <w:szCs w:val="18"/>
    </w:rPr>
  </w:style>
  <w:style w:type="character" w:styleId="1057">
    <w:name w:val="页眉 Char1"/>
    <w:next w:val="1057"/>
    <w:link w:val="1056"/>
    <w:qFormat/>
    <w:rPr>
      <w:rFonts w:eastAsia="宋体"/>
      <w:sz w:val="18"/>
      <w:szCs w:val="18"/>
      <w:lang w:val="en-US" w:eastAsia="zh-CN" w:bidi="ar-SA"/>
    </w:rPr>
  </w:style>
  <w:style w:type="paragraph" w:styleId="1058">
    <w:name w:val="签名"/>
    <w:basedOn w:val="1005"/>
    <w:next w:val="1058"/>
    <w:link w:val="1059"/>
    <w:qFormat/>
    <w:pPr>
      <w:jc w:val="left"/>
      <w:widowControl/>
    </w:pPr>
    <w:rPr>
      <w:rFonts w:ascii="Tahoma" w:hAnsi="Tahoma"/>
      <w:sz w:val="24"/>
      <w:szCs w:val="20"/>
      <w:lang w:val="de-DE" w:eastAsia="de-DE"/>
    </w:rPr>
  </w:style>
  <w:style w:type="character" w:styleId="1059">
    <w:name w:val="签名 Char"/>
    <w:next w:val="1059"/>
    <w:link w:val="1058"/>
    <w:qFormat/>
    <w:rPr>
      <w:rFonts w:ascii="Tahoma" w:hAnsi="Tahoma"/>
      <w:sz w:val="24"/>
      <w:lang w:val="de-DE" w:eastAsia="de-DE"/>
    </w:rPr>
  </w:style>
  <w:style w:type="paragraph" w:styleId="1060">
    <w:name w:val="目录 1"/>
    <w:basedOn w:val="1005"/>
    <w:next w:val="1005"/>
    <w:link w:val="1005"/>
    <w:uiPriority w:val="39"/>
    <w:qFormat/>
    <w:pPr>
      <w:spacing w:line="300" w:lineRule="auto"/>
      <w:tabs>
        <w:tab w:val="left" w:pos="1050" w:leader="none"/>
        <w:tab w:val="right" w:pos="8937" w:leader="dot"/>
      </w:tabs>
    </w:pPr>
    <w:rPr>
      <w:rFonts w:ascii="宋体" w:hAnsi="宋体"/>
      <w:b/>
      <w:sz w:val="24"/>
    </w:rPr>
  </w:style>
  <w:style w:type="paragraph" w:styleId="1061">
    <w:name w:val="目录 4"/>
    <w:basedOn w:val="1005"/>
    <w:next w:val="1005"/>
    <w:link w:val="1005"/>
    <w:qFormat/>
    <w:pPr>
      <w:ind w:left="1260"/>
    </w:pPr>
  </w:style>
  <w:style w:type="paragraph" w:styleId="1062">
    <w:name w:val="副标题"/>
    <w:basedOn w:val="1005"/>
    <w:next w:val="1005"/>
    <w:link w:val="1063"/>
    <w:uiPriority w:val="11"/>
    <w:qFormat/>
    <w:pPr>
      <w:jc w:val="center"/>
      <w:spacing w:before="240" w:after="60" w:line="312" w:lineRule="auto"/>
      <w:outlineLvl w:val="1"/>
    </w:pPr>
    <w:rPr>
      <w:rFonts w:ascii="Cambria" w:hAnsi="Cambria"/>
      <w:b/>
      <w:bCs/>
      <w:sz w:val="32"/>
      <w:szCs w:val="32"/>
    </w:rPr>
  </w:style>
  <w:style w:type="character" w:styleId="1063">
    <w:name w:val="副标题 Char"/>
    <w:next w:val="1063"/>
    <w:link w:val="1062"/>
    <w:uiPriority w:val="11"/>
    <w:qFormat/>
    <w:rPr>
      <w:rFonts w:ascii="Cambria" w:hAnsi="Cambria"/>
      <w:b/>
      <w:bCs/>
      <w:sz w:val="32"/>
      <w:szCs w:val="32"/>
    </w:rPr>
  </w:style>
  <w:style w:type="paragraph" w:styleId="1064">
    <w:name w:val="目录 6"/>
    <w:basedOn w:val="1005"/>
    <w:next w:val="1005"/>
    <w:link w:val="1005"/>
    <w:qFormat/>
    <w:pPr>
      <w:ind w:left="2100"/>
    </w:pPr>
  </w:style>
  <w:style w:type="paragraph" w:styleId="1065">
    <w:name w:val="正文文本缩进 3"/>
    <w:basedOn w:val="1005"/>
    <w:next w:val="1065"/>
    <w:link w:val="1066"/>
    <w:qFormat/>
    <w:pPr>
      <w:ind w:left="720" w:firstLine="480"/>
      <w:jc w:val="left"/>
      <w:spacing w:before="120" w:line="22" w:lineRule="atLeast"/>
    </w:pPr>
    <w:rPr>
      <w:rFonts w:ascii="宋体"/>
      <w:sz w:val="24"/>
      <w:szCs w:val="20"/>
    </w:rPr>
  </w:style>
  <w:style w:type="character" w:styleId="1066">
    <w:name w:val="正文文本缩进 3 Char"/>
    <w:next w:val="1066"/>
    <w:link w:val="1065"/>
    <w:qFormat/>
    <w:rPr>
      <w:rFonts w:ascii="宋体"/>
      <w:sz w:val="24"/>
    </w:rPr>
  </w:style>
  <w:style w:type="paragraph" w:styleId="1067">
    <w:name w:val="目录 2"/>
    <w:basedOn w:val="1005"/>
    <w:next w:val="1005"/>
    <w:link w:val="1005"/>
    <w:uiPriority w:val="39"/>
    <w:qFormat/>
    <w:pPr>
      <w:ind w:left="420"/>
      <w:spacing w:line="312" w:lineRule="auto"/>
      <w:tabs>
        <w:tab w:val="right" w:pos="8937" w:leader="dot"/>
      </w:tabs>
    </w:pPr>
  </w:style>
  <w:style w:type="paragraph" w:styleId="1068">
    <w:name w:val="目录 9"/>
    <w:basedOn w:val="1005"/>
    <w:next w:val="1005"/>
    <w:link w:val="1005"/>
    <w:qFormat/>
    <w:pPr>
      <w:ind w:left="3360"/>
    </w:pPr>
  </w:style>
  <w:style w:type="paragraph" w:styleId="1069">
    <w:name w:val="正文文本 2"/>
    <w:basedOn w:val="1005"/>
    <w:next w:val="1069"/>
    <w:link w:val="1070"/>
    <w:qFormat/>
    <w:pPr>
      <w:spacing w:line="360" w:lineRule="auto"/>
    </w:pPr>
    <w:rPr>
      <w:rFonts w:ascii="宋体" w:hAnsi="宋体"/>
      <w:color w:val="0000ff"/>
      <w:sz w:val="24"/>
    </w:rPr>
  </w:style>
  <w:style w:type="character" w:styleId="1070">
    <w:name w:val="正文文本 2 Char"/>
    <w:next w:val="1070"/>
    <w:link w:val="1069"/>
    <w:qFormat/>
    <w:rPr>
      <w:rFonts w:ascii="宋体" w:hAnsi="宋体"/>
      <w:color w:val="0000ff"/>
      <w:sz w:val="24"/>
      <w:szCs w:val="24"/>
    </w:rPr>
  </w:style>
  <w:style w:type="paragraph" w:styleId="1071">
    <w:name w:val="HTML 预设格式"/>
    <w:basedOn w:val="1005"/>
    <w:next w:val="1071"/>
    <w:link w:val="107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2">
    <w:name w:val="HTML 预设格式 Char"/>
    <w:next w:val="1072"/>
    <w:link w:val="1071"/>
    <w:qFormat/>
    <w:rPr>
      <w:rFonts w:ascii="宋体" w:hAnsi="宋体" w:cs="宋体"/>
      <w:sz w:val="24"/>
      <w:szCs w:val="24"/>
    </w:rPr>
  </w:style>
  <w:style w:type="paragraph" w:styleId="1073">
    <w:name w:val="普通(网站)"/>
    <w:basedOn w:val="1005"/>
    <w:next w:val="1073"/>
    <w:link w:val="1005"/>
    <w:uiPriority w:val="99"/>
    <w:unhideWhenUsed/>
    <w:qFormat/>
    <w:pPr>
      <w:jc w:val="left"/>
      <w:spacing w:before="100" w:beforeAutospacing="1" w:after="100" w:afterAutospacing="1"/>
      <w:widowControl/>
    </w:pPr>
    <w:rPr>
      <w:rFonts w:ascii="宋体" w:hAnsi="宋体" w:cs="宋体"/>
      <w:sz w:val="24"/>
    </w:rPr>
  </w:style>
  <w:style w:type="paragraph" w:styleId="1074">
    <w:name w:val="索引 1"/>
    <w:basedOn w:val="1005"/>
    <w:next w:val="1005"/>
    <w:link w:val="1005"/>
    <w:qFormat/>
    <w:rPr>
      <w:szCs w:val="20"/>
    </w:rPr>
  </w:style>
  <w:style w:type="paragraph" w:styleId="1075">
    <w:name w:val="标题"/>
    <w:basedOn w:val="1005"/>
    <w:next w:val="1075"/>
    <w:link w:val="1076"/>
    <w:uiPriority w:val="10"/>
    <w:qFormat/>
    <w:pPr>
      <w:jc w:val="center"/>
      <w:outlineLvl w:val="0"/>
    </w:pPr>
    <w:rPr>
      <w:b/>
      <w:sz w:val="32"/>
      <w:szCs w:val="20"/>
    </w:rPr>
  </w:style>
  <w:style w:type="character" w:styleId="1076">
    <w:name w:val="标题 Char1"/>
    <w:next w:val="1076"/>
    <w:link w:val="1075"/>
    <w:uiPriority w:val="10"/>
    <w:qFormat/>
    <w:rPr>
      <w:b/>
      <w:sz w:val="32"/>
    </w:rPr>
  </w:style>
  <w:style w:type="paragraph" w:styleId="1077">
    <w:name w:val="批注主题"/>
    <w:basedOn w:val="1033"/>
    <w:next w:val="1033"/>
    <w:link w:val="1078"/>
    <w:uiPriority w:val="99"/>
    <w:qFormat/>
    <w:rPr>
      <w:b/>
      <w:bCs/>
      <w:lang w:val="en-US" w:eastAsia="zh-CN"/>
    </w:rPr>
  </w:style>
  <w:style w:type="character" w:styleId="1078">
    <w:name w:val="批注主题 Char"/>
    <w:next w:val="1078"/>
    <w:link w:val="1077"/>
    <w:uiPriority w:val="99"/>
    <w:qFormat/>
    <w:rPr>
      <w:rFonts w:ascii="Times New Roman" w:hAnsi="Times New Roman" w:eastAsia="宋体" w:cs="Times New Roman"/>
      <w:b/>
      <w:bCs/>
      <w:sz w:val="21"/>
      <w:szCs w:val="24"/>
      <w:lang w:val="en-US" w:eastAsia="zh-CN" w:bidi="ar-SA"/>
    </w:rPr>
  </w:style>
  <w:style w:type="paragraph" w:styleId="1079">
    <w:name w:val="正文首行缩进"/>
    <w:basedOn w:val="1037"/>
    <w:next w:val="1079"/>
    <w:link w:val="1080"/>
    <w:qFormat/>
    <w:pPr>
      <w:ind w:firstLine="200"/>
      <w:spacing w:before="0" w:line="360" w:lineRule="auto"/>
      <w:tabs>
        <w:tab w:val="clear" w:pos="567" w:leader="none"/>
      </w:tabs>
    </w:pPr>
    <w:rPr>
      <w:rFonts w:ascii="Calibri" w:hAnsi="Calibri" w:eastAsia="仿宋_GB2312"/>
    </w:rPr>
  </w:style>
  <w:style w:type="character" w:styleId="1080">
    <w:name w:val="正文首行缩进 Char"/>
    <w:next w:val="1080"/>
    <w:link w:val="1079"/>
    <w:qFormat/>
    <w:rPr>
      <w:rFonts w:ascii="Calibri" w:hAnsi="Calibri" w:eastAsia="仿宋_GB2312"/>
      <w:sz w:val="24"/>
      <w:szCs w:val="24"/>
    </w:rPr>
  </w:style>
  <w:style w:type="paragraph" w:styleId="1081">
    <w:name w:val="正文首行缩进 2"/>
    <w:basedOn w:val="1039"/>
    <w:next w:val="1081"/>
    <w:link w:val="1082"/>
    <w:qFormat/>
    <w:pPr>
      <w:ind w:left="420" w:firstLine="420"/>
      <w:spacing w:after="120" w:line="480" w:lineRule="exact"/>
    </w:pPr>
  </w:style>
  <w:style w:type="character" w:styleId="1082">
    <w:name w:val="正文首行缩进 2 Char"/>
    <w:next w:val="1082"/>
    <w:link w:val="1081"/>
    <w:qFormat/>
    <w:rPr>
      <w:rFonts w:eastAsia="宋体"/>
      <w:sz w:val="24"/>
      <w:szCs w:val="24"/>
      <w:lang w:val="en-US" w:eastAsia="zh-CN" w:bidi="ar-SA"/>
    </w:rPr>
  </w:style>
  <w:style w:type="table" w:styleId="1083">
    <w:name w:val="网格型"/>
    <w:basedOn w:val="1016"/>
    <w:next w:val="1083"/>
    <w:link w:val="1005"/>
    <w:uiPriority w:val="59"/>
    <w:qFormat/>
    <w:tblPr/>
  </w:style>
  <w:style w:type="table" w:styleId="1084">
    <w:name w:val="中等深浅网格 1 - 强调文字颜色 2"/>
    <w:basedOn w:val="1016"/>
    <w:next w:val="1084"/>
    <w:link w:val="1005"/>
    <w:qFormat/>
    <w:rPr>
      <w:sz w:val="21"/>
      <w:szCs w:val="24"/>
    </w:rPr>
    <w:tblPr/>
  </w:style>
  <w:style w:type="character" w:styleId="1085">
    <w:name w:val="要点"/>
    <w:next w:val="1085"/>
    <w:link w:val="1005"/>
    <w:uiPriority w:val="99"/>
    <w:qFormat/>
    <w:rPr>
      <w:b/>
      <w:bCs/>
    </w:rPr>
  </w:style>
  <w:style w:type="character" w:styleId="1086">
    <w:name w:val="页码"/>
    <w:next w:val="1086"/>
    <w:link w:val="1005"/>
    <w:qFormat/>
  </w:style>
  <w:style w:type="character" w:styleId="1087">
    <w:name w:val="已访问的超链接"/>
    <w:next w:val="1087"/>
    <w:link w:val="1005"/>
    <w:uiPriority w:val="99"/>
    <w:qFormat/>
    <w:rPr>
      <w:color w:val="800080"/>
      <w:u w:val="single"/>
    </w:rPr>
  </w:style>
  <w:style w:type="character" w:styleId="1088">
    <w:name w:val="强调"/>
    <w:next w:val="1088"/>
    <w:link w:val="1005"/>
    <w:uiPriority w:val="20"/>
    <w:qFormat/>
    <w:rPr>
      <w:color w:val="cc0033"/>
    </w:rPr>
  </w:style>
  <w:style w:type="character" w:styleId="1089">
    <w:name w:val="HTML 定义"/>
    <w:next w:val="1089"/>
    <w:link w:val="1005"/>
    <w:uiPriority w:val="99"/>
    <w:unhideWhenUsed/>
    <w:qFormat/>
    <w:rPr>
      <w:i/>
    </w:rPr>
  </w:style>
  <w:style w:type="character" w:styleId="1090">
    <w:name w:val="超链接"/>
    <w:next w:val="1090"/>
    <w:link w:val="1005"/>
    <w:uiPriority w:val="99"/>
    <w:qFormat/>
    <w:rPr>
      <w:color w:val="0000ff"/>
      <w:u w:val="single"/>
    </w:rPr>
  </w:style>
  <w:style w:type="character" w:styleId="1091">
    <w:name w:val="HTML 代码"/>
    <w:next w:val="1091"/>
    <w:link w:val="1005"/>
    <w:uiPriority w:val="99"/>
    <w:unhideWhenUsed/>
    <w:qFormat/>
    <w:rPr>
      <w:rFonts w:ascii="Menlo" w:hAnsi="Menlo" w:eastAsia="Menlo" w:cs="Menlo"/>
      <w:color w:val="c7254e"/>
      <w:sz w:val="21"/>
      <w:szCs w:val="21"/>
      <w:shd w:val="clear" w:color="auto" w:fill="f9f2f4"/>
    </w:rPr>
  </w:style>
  <w:style w:type="character" w:styleId="1092">
    <w:name w:val="批注引用"/>
    <w:next w:val="1092"/>
    <w:link w:val="1005"/>
    <w:qFormat/>
    <w:rPr>
      <w:sz w:val="21"/>
      <w:szCs w:val="21"/>
    </w:rPr>
  </w:style>
  <w:style w:type="character" w:styleId="1093">
    <w:name w:val="HTML 引文"/>
    <w:next w:val="1093"/>
    <w:link w:val="1005"/>
    <w:qFormat/>
    <w:rPr>
      <w:i/>
      <w:iCs/>
    </w:rPr>
  </w:style>
  <w:style w:type="character" w:styleId="1094">
    <w:name w:val="HTML 键盘"/>
    <w:next w:val="1094"/>
    <w:link w:val="1005"/>
    <w:uiPriority w:val="99"/>
    <w:unhideWhenUsed/>
    <w:qFormat/>
    <w:rPr>
      <w:rFonts w:ascii="Menlo" w:hAnsi="Menlo" w:eastAsia="Menlo" w:cs="Menlo"/>
      <w:color w:val="ffffff"/>
      <w:sz w:val="21"/>
      <w:szCs w:val="21"/>
      <w:shd w:val="clear" w:color="auto" w:fill="333333"/>
    </w:rPr>
  </w:style>
  <w:style w:type="character" w:styleId="1095">
    <w:name w:val="HTML 样本"/>
    <w:next w:val="1095"/>
    <w:link w:val="1005"/>
    <w:uiPriority w:val="99"/>
    <w:unhideWhenUsed/>
    <w:qFormat/>
    <w:rPr>
      <w:rFonts w:ascii="Menlo" w:hAnsi="Menlo" w:eastAsia="Menlo" w:cs="Menlo"/>
      <w:sz w:val="21"/>
      <w:szCs w:val="21"/>
    </w:rPr>
  </w:style>
  <w:style w:type="character" w:styleId="1096">
    <w:name w:val="z-窗体顶端 Char"/>
    <w:next w:val="1096"/>
    <w:link w:val="1097"/>
    <w:qFormat/>
    <w:rPr>
      <w:rFonts w:ascii="Arial"/>
      <w:vanish/>
      <w:sz w:val="16"/>
      <w:szCs w:val="24"/>
    </w:rPr>
  </w:style>
  <w:style w:type="paragraph" w:styleId="1097">
    <w:name w:val="z-窗体顶端1"/>
    <w:basedOn w:val="1005"/>
    <w:next w:val="1005"/>
    <w:link w:val="1096"/>
    <w:qFormat/>
    <w:pPr>
      <w:jc w:val="center"/>
      <w:pBdr>
        <w:bottom w:val="single" w:color="000000" w:sz="6" w:space="1"/>
      </w:pBdr>
    </w:pPr>
    <w:rPr>
      <w:rFonts w:ascii="Arial"/>
      <w:vanish/>
      <w:sz w:val="16"/>
    </w:rPr>
  </w:style>
  <w:style w:type="character" w:styleId="1098">
    <w:name w:val="正文大标题 Char"/>
    <w:next w:val="1098"/>
    <w:link w:val="1099"/>
    <w:qFormat/>
    <w:rPr>
      <w:rFonts w:ascii="宋体" w:hAnsi="宋体"/>
      <w:b/>
      <w:color w:val="000000"/>
      <w:sz w:val="28"/>
      <w:szCs w:val="21"/>
    </w:rPr>
  </w:style>
  <w:style w:type="paragraph" w:styleId="1099">
    <w:name w:val="正文大标题"/>
    <w:basedOn w:val="1100"/>
    <w:next w:val="1020"/>
    <w:link w:val="1098"/>
    <w:qFormat/>
    <w:pPr>
      <w:jc w:val="center"/>
    </w:pPr>
    <w:rPr>
      <w:i w:val="0"/>
      <w:color w:val="000000"/>
      <w:sz w:val="28"/>
      <w:szCs w:val="21"/>
    </w:rPr>
  </w:style>
  <w:style w:type="paragraph" w:styleId="1100">
    <w:name w:val="正文小标题"/>
    <w:basedOn w:val="1005"/>
    <w:next w:val="1020"/>
    <w:link w:val="1101"/>
    <w:qFormat/>
    <w:pPr>
      <w:ind w:firstLine="482"/>
      <w:jc w:val="left"/>
      <w:spacing w:before="312" w:after="312"/>
    </w:pPr>
    <w:rPr>
      <w:rFonts w:ascii="宋体" w:hAnsi="宋体"/>
      <w:b/>
      <w:i/>
      <w:color w:val="ff0000"/>
      <w:sz w:val="24"/>
      <w:szCs w:val="20"/>
    </w:rPr>
  </w:style>
  <w:style w:type="character" w:styleId="1101">
    <w:name w:val="正文小标题 Char"/>
    <w:next w:val="1101"/>
    <w:link w:val="1100"/>
    <w:qFormat/>
    <w:rPr>
      <w:rFonts w:ascii="宋体" w:hAnsi="宋体"/>
      <w:b/>
      <w:i/>
      <w:color w:val="ff0000"/>
      <w:sz w:val="24"/>
    </w:rPr>
  </w:style>
  <w:style w:type="character" w:styleId="1102">
    <w:name w:val="unnamed11"/>
    <w:next w:val="1102"/>
    <w:link w:val="1005"/>
    <w:qFormat/>
  </w:style>
  <w:style w:type="character" w:styleId="1103">
    <w:name w:val="正文（绿盟科技） Char"/>
    <w:next w:val="1103"/>
    <w:link w:val="1104"/>
    <w:qFormat/>
    <w:rPr>
      <w:rFonts w:ascii="Arial" w:hAnsi="Arial"/>
      <w:lang w:val="en-US" w:eastAsia="zh-CN" w:bidi="ar-SA"/>
    </w:rPr>
  </w:style>
  <w:style w:type="paragraph" w:styleId="1104">
    <w:name w:val="正文（绿盟科技）"/>
    <w:next w:val="1104"/>
    <w:link w:val="1103"/>
    <w:qFormat/>
    <w:pPr>
      <w:spacing w:line="300" w:lineRule="auto"/>
    </w:pPr>
    <w:rPr>
      <w:rFonts w:ascii="Arial" w:hAnsi="Arial"/>
      <w:lang w:val="en-US" w:eastAsia="zh-CN" w:bidi="ar-SA"/>
    </w:rPr>
  </w:style>
  <w:style w:type="character" w:styleId="1105">
    <w:name w:val="页脚 字符"/>
    <w:next w:val="1105"/>
    <w:link w:val="1005"/>
    <w:uiPriority w:val="99"/>
    <w:qFormat/>
    <w:rPr>
      <w:rFonts w:ascii="Times New Roman" w:hAnsi="Times New Roman" w:eastAsia="楷体_GB2312" w:cs="Times New Roman"/>
      <w:sz w:val="18"/>
      <w:szCs w:val="18"/>
    </w:rPr>
  </w:style>
  <w:style w:type="character" w:styleId="1106">
    <w:name w:val="签名 Char1"/>
    <w:next w:val="1106"/>
    <w:link w:val="1005"/>
    <w:qFormat/>
  </w:style>
  <w:style w:type="character" w:styleId="1107">
    <w:name w:val="title4"/>
    <w:next w:val="1107"/>
    <w:link w:val="1005"/>
    <w:qFormat/>
    <w:rPr>
      <w:b/>
      <w:bCs/>
      <w:color w:val="1d87b3"/>
      <w:sz w:val="15"/>
      <w:szCs w:val="15"/>
    </w:rPr>
  </w:style>
  <w:style w:type="character" w:styleId="1108">
    <w:name w:val="标题 Char"/>
    <w:next w:val="1108"/>
    <w:link w:val="1005"/>
    <w:qFormat/>
    <w:rPr>
      <w:b/>
      <w:sz w:val="32"/>
    </w:rPr>
  </w:style>
  <w:style w:type="character" w:styleId="1109">
    <w:name w:val="标书正文 Char Char"/>
    <w:next w:val="1109"/>
    <w:link w:val="1110"/>
    <w:rPr>
      <w:spacing w:val="1"/>
      <w:sz w:val="24"/>
      <w:szCs w:val="24"/>
    </w:rPr>
  </w:style>
  <w:style w:type="paragraph" w:styleId="1110">
    <w:name w:val="标书正文"/>
    <w:basedOn w:val="1005"/>
    <w:next w:val="1110"/>
    <w:link w:val="1109"/>
    <w:pPr>
      <w:ind w:firstLine="200"/>
      <w:spacing w:line="360" w:lineRule="auto"/>
    </w:pPr>
    <w:rPr>
      <w:spacing w:val="1"/>
      <w:sz w:val="24"/>
    </w:rPr>
  </w:style>
  <w:style w:type="character" w:styleId="1111">
    <w:name w:val="标题 9 字符"/>
    <w:next w:val="1111"/>
    <w:link w:val="1005"/>
    <w:qFormat/>
    <w:rPr>
      <w:rFonts w:ascii="Arial" w:hAnsi="Arial" w:eastAsia="黑体" w:cs="Times New Roman"/>
      <w:sz w:val="20"/>
      <w:szCs w:val="21"/>
    </w:rPr>
  </w:style>
  <w:style w:type="character" w:styleId="1112">
    <w:name w:val="street-address"/>
    <w:next w:val="1112"/>
    <w:link w:val="1005"/>
    <w:qFormat/>
  </w:style>
  <w:style w:type="character" w:styleId="1113">
    <w:name w:val="标书正文格式 Char"/>
    <w:next w:val="1113"/>
    <w:link w:val="1114"/>
    <w:qFormat/>
    <w:rPr>
      <w:rFonts w:eastAsia="楷体_GB2312"/>
      <w:sz w:val="24"/>
      <w:szCs w:val="24"/>
      <w:lang w:val="en-US" w:eastAsia="zh-CN" w:bidi="ar-SA"/>
    </w:rPr>
  </w:style>
  <w:style w:type="paragraph" w:styleId="1114">
    <w:name w:val="标书正文格式"/>
    <w:next w:val="1114"/>
    <w:link w:val="1113"/>
    <w:qFormat/>
    <w:pPr>
      <w:ind w:firstLine="200"/>
      <w:spacing w:line="360" w:lineRule="auto"/>
    </w:pPr>
    <w:rPr>
      <w:rFonts w:eastAsia="楷体_GB2312"/>
      <w:sz w:val="24"/>
      <w:szCs w:val="24"/>
      <w:lang w:val="en-US" w:eastAsia="zh-CN" w:bidi="ar-SA"/>
    </w:rPr>
  </w:style>
  <w:style w:type="character" w:styleId="1115">
    <w:name w:val="副标题 Char1"/>
    <w:next w:val="1115"/>
    <w:link w:val="1005"/>
    <w:uiPriority w:val="11"/>
    <w:rPr>
      <w:rFonts w:ascii="Cambria" w:hAnsi="Cambria" w:eastAsia="宋体" w:cs="Times New Roman"/>
      <w:b/>
      <w:bCs/>
      <w:sz w:val="32"/>
      <w:szCs w:val="32"/>
    </w:rPr>
  </w:style>
  <w:style w:type="character" w:styleId="1116">
    <w:name w:val="style3"/>
    <w:next w:val="1116"/>
    <w:link w:val="1005"/>
    <w:qFormat/>
  </w:style>
  <w:style w:type="character" w:styleId="1117">
    <w:name w:val="font11"/>
    <w:next w:val="1117"/>
    <w:link w:val="1005"/>
    <w:qFormat/>
    <w:rPr>
      <w:rFonts w:hint="eastAsia" w:ascii="仿宋" w:hAnsi="仿宋" w:eastAsia="仿宋" w:cs="仿宋"/>
      <w:color w:val="333333"/>
      <w:sz w:val="22"/>
      <w:szCs w:val="22"/>
      <w:u w:val="none"/>
    </w:rPr>
  </w:style>
  <w:style w:type="character" w:styleId="1118">
    <w:name w:val="日期 字符"/>
    <w:next w:val="1118"/>
    <w:link w:val="1005"/>
    <w:uiPriority w:val="99"/>
    <w:qFormat/>
    <w:rPr>
      <w:rFonts w:ascii="宋体" w:hAnsi="宋体" w:eastAsia="楷体_GB2312" w:cs="Times New Roman"/>
      <w:sz w:val="24"/>
      <w:szCs w:val="20"/>
    </w:rPr>
  </w:style>
  <w:style w:type="character" w:styleId="1119">
    <w:name w:val="标题 字符"/>
    <w:next w:val="1119"/>
    <w:link w:val="1005"/>
    <w:qFormat/>
    <w:rPr>
      <w:rFonts w:ascii="Cambria" w:hAnsi="Cambria"/>
      <w:b/>
      <w:bCs/>
      <w:sz w:val="32"/>
      <w:szCs w:val="32"/>
    </w:rPr>
  </w:style>
  <w:style w:type="character" w:styleId="1120">
    <w:name w:val="fonta1"/>
    <w:next w:val="1120"/>
    <w:link w:val="1005"/>
    <w:rPr>
      <w:sz w:val="30"/>
    </w:rPr>
  </w:style>
  <w:style w:type="character" w:styleId="1121">
    <w:name w:val="样式 正文缩进 + 首行缩进:  2 字符 Char"/>
    <w:next w:val="1121"/>
    <w:link w:val="1122"/>
    <w:qFormat/>
    <w:rPr>
      <w:sz w:val="24"/>
    </w:rPr>
  </w:style>
  <w:style w:type="paragraph" w:styleId="1122">
    <w:name w:val="样式 正文缩进 + 首行缩进:  2 字符"/>
    <w:basedOn w:val="1020"/>
    <w:next w:val="1122"/>
    <w:link w:val="1121"/>
    <w:qFormat/>
    <w:pPr>
      <w:ind w:firstLine="200"/>
      <w:jc w:val="both"/>
      <w:spacing w:line="360" w:lineRule="auto"/>
    </w:pPr>
    <w:rPr>
      <w:rFonts w:ascii="Times New Roman"/>
      <w:szCs w:val="20"/>
    </w:rPr>
  </w:style>
  <w:style w:type="character" w:styleId="1123">
    <w:name w:val="纯文本 字符1"/>
    <w:next w:val="1123"/>
    <w:link w:val="1005"/>
    <w:qFormat/>
    <w:rPr>
      <w:rFonts w:ascii="宋体" w:hAnsi="Courier New"/>
    </w:rPr>
  </w:style>
  <w:style w:type="character" w:styleId="1124">
    <w:name w:val="明显引用 字符1"/>
    <w:next w:val="1124"/>
    <w:link w:val="1005"/>
    <w:uiPriority w:val="30"/>
    <w:rPr>
      <w:i/>
      <w:iCs/>
      <w:color w:val="5b9bd5"/>
      <w:sz w:val="21"/>
      <w:szCs w:val="24"/>
    </w:rPr>
  </w:style>
  <w:style w:type="character" w:styleId="1125">
    <w:name w:val="Char Char10"/>
    <w:next w:val="1125"/>
    <w:link w:val="1005"/>
    <w:qFormat/>
    <w:rPr>
      <w:rFonts w:ascii="宋体" w:hAnsi="Courier New" w:eastAsia="宋体" w:cs="Times New Roman"/>
      <w:szCs w:val="21"/>
    </w:rPr>
  </w:style>
  <w:style w:type="character" w:styleId="1126">
    <w:name w:val="标题 4 字符"/>
    <w:next w:val="1126"/>
    <w:link w:val="1005"/>
    <w:qFormat/>
    <w:rPr>
      <w:rFonts w:ascii="Arial" w:hAnsi="Arial" w:eastAsia="黑体" w:cs="Times New Roman"/>
      <w:b/>
      <w:bCs/>
      <w:sz w:val="28"/>
      <w:szCs w:val="28"/>
    </w:rPr>
  </w:style>
  <w:style w:type="character" w:styleId="1127">
    <w:name w:val="标题 7 字符"/>
    <w:next w:val="1127"/>
    <w:link w:val="1005"/>
    <w:qFormat/>
    <w:rPr>
      <w:rFonts w:ascii="Times New Roman" w:hAnsi="Times New Roman" w:eastAsia="宋体" w:cs="Times New Roman"/>
      <w:b/>
      <w:bCs/>
      <w:sz w:val="24"/>
      <w:szCs w:val="24"/>
    </w:rPr>
  </w:style>
  <w:style w:type="character" w:styleId="1128">
    <w:name w:val="明显参考1"/>
    <w:next w:val="1128"/>
    <w:link w:val="1005"/>
    <w:uiPriority w:val="32"/>
    <w:qFormat/>
    <w:rPr>
      <w:b/>
      <w:bCs/>
      <w:smallCaps/>
      <w:color w:val="c0504d"/>
      <w:spacing w:val="5"/>
      <w:u w:val="single"/>
    </w:rPr>
  </w:style>
  <w:style w:type="character" w:styleId="1129">
    <w:name w:val="页脚 Char"/>
    <w:next w:val="1129"/>
    <w:link w:val="1005"/>
    <w:qFormat/>
    <w:rPr>
      <w:rFonts w:ascii="宋体" w:eastAsia="宋体"/>
      <w:sz w:val="18"/>
      <w:lang w:val="en-US" w:eastAsia="zh-CN" w:bidi="ar-SA"/>
    </w:rPr>
  </w:style>
  <w:style w:type="character" w:styleId="1130">
    <w:name w:val="正文文本 字符"/>
    <w:next w:val="1130"/>
    <w:link w:val="1005"/>
    <w:qFormat/>
    <w:rPr>
      <w:rFonts w:ascii="Times New Roman" w:hAnsi="Times New Roman" w:eastAsia="宋体" w:cs="Times New Roman"/>
      <w:szCs w:val="24"/>
    </w:rPr>
  </w:style>
  <w:style w:type="character" w:styleId="1131">
    <w:name w:val="批注文字 Char"/>
    <w:next w:val="1131"/>
    <w:link w:val="1005"/>
    <w:uiPriority w:val="99"/>
    <w:qFormat/>
    <w:rPr>
      <w:sz w:val="21"/>
      <w:szCs w:val="24"/>
    </w:rPr>
  </w:style>
  <w:style w:type="character" w:styleId="1132">
    <w:name w:val="正文首行缩进 字符1"/>
    <w:next w:val="1132"/>
    <w:link w:val="1005"/>
    <w:uiPriority w:val="99"/>
    <w:rPr>
      <w:rFonts w:ascii="宋体" w:hAnsi="宋体"/>
      <w:sz w:val="21"/>
      <w:szCs w:val="24"/>
    </w:rPr>
  </w:style>
  <w:style w:type="character" w:styleId="1133">
    <w:name w:val="书籍标题1"/>
    <w:next w:val="1133"/>
    <w:link w:val="1005"/>
    <w:uiPriority w:val="33"/>
    <w:qFormat/>
    <w:rPr>
      <w:b/>
      <w:bCs/>
      <w:smallCaps/>
      <w:spacing w:val="5"/>
    </w:rPr>
  </w:style>
  <w:style w:type="character" w:styleId="1134">
    <w:name w:val="不明显强调1"/>
    <w:next w:val="1134"/>
    <w:link w:val="1005"/>
    <w:uiPriority w:val="19"/>
    <w:qFormat/>
    <w:rPr>
      <w:i/>
      <w:iCs/>
      <w:color w:val="808080"/>
    </w:rPr>
  </w:style>
  <w:style w:type="character" w:styleId="1135">
    <w:name w:val="普通文字1 Char1"/>
    <w:next w:val="1135"/>
    <w:link w:val="1005"/>
    <w:qFormat/>
    <w:rPr>
      <w:rFonts w:ascii="宋体" w:hAnsi="Courier New" w:eastAsia="宋体"/>
      <w:sz w:val="21"/>
      <w:lang w:val="en-US" w:eastAsia="zh-CN" w:bidi="ar-SA"/>
    </w:rPr>
  </w:style>
  <w:style w:type="character" w:styleId="1136">
    <w:name w:val="正文文本 3 字符1"/>
    <w:next w:val="1136"/>
    <w:link w:val="1005"/>
    <w:uiPriority w:val="99"/>
    <w:semiHidden/>
    <w:rPr>
      <w:sz w:val="16"/>
      <w:szCs w:val="16"/>
    </w:rPr>
  </w:style>
  <w:style w:type="character" w:styleId="1137">
    <w:name w:val="black1"/>
    <w:next w:val="1137"/>
    <w:link w:val="1005"/>
    <w:qFormat/>
    <w:rPr>
      <w:color w:val="000000"/>
    </w:rPr>
  </w:style>
  <w:style w:type="character" w:styleId="1138">
    <w:name w:val="正文缩进 Char Char"/>
    <w:next w:val="1138"/>
    <w:link w:val="1139"/>
    <w:qFormat/>
    <w:rPr>
      <w:rFonts w:ascii="宋体" w:eastAsia="宋体"/>
      <w:color w:val="000000"/>
      <w:sz w:val="28"/>
      <w:lang w:bidi="ar-SA"/>
    </w:rPr>
  </w:style>
  <w:style w:type="paragraph" w:styleId="1139">
    <w:name w:val="正文缩进1"/>
    <w:basedOn w:val="1005"/>
    <w:next w:val="1139"/>
    <w:link w:val="1138"/>
    <w:qFormat/>
    <w:pPr>
      <w:ind w:firstLine="567"/>
      <w:spacing w:line="480" w:lineRule="exact"/>
      <w:widowControl/>
    </w:pPr>
    <w:rPr>
      <w:rFonts w:ascii="宋体"/>
      <w:color w:val="000000"/>
      <w:sz w:val="28"/>
      <w:szCs w:val="20"/>
    </w:rPr>
  </w:style>
  <w:style w:type="character" w:styleId="1140">
    <w:name w:val="reg"/>
    <w:next w:val="1140"/>
    <w:link w:val="1005"/>
    <w:qFormat/>
  </w:style>
  <w:style w:type="character" w:styleId="1141">
    <w:name w:val="正文表格 Char"/>
    <w:next w:val="1141"/>
    <w:link w:val="1142"/>
    <w:qFormat/>
    <w:rPr>
      <w:rFonts w:ascii="宋体" w:hAnsi="宋体"/>
      <w:color w:val="000000"/>
      <w:sz w:val="21"/>
      <w:szCs w:val="21"/>
    </w:rPr>
  </w:style>
  <w:style w:type="paragraph" w:styleId="1142">
    <w:name w:val="正文表格"/>
    <w:basedOn w:val="1005"/>
    <w:next w:val="1142"/>
    <w:link w:val="1141"/>
    <w:qFormat/>
    <w:pPr>
      <w:jc w:val="left"/>
    </w:pPr>
    <w:rPr>
      <w:rFonts w:ascii="宋体" w:hAnsi="宋体"/>
      <w:color w:val="000000"/>
      <w:szCs w:val="21"/>
    </w:rPr>
  </w:style>
  <w:style w:type="character" w:styleId="1143">
    <w:name w:val="font31"/>
    <w:next w:val="1143"/>
    <w:link w:val="1005"/>
    <w:qFormat/>
    <w:rPr>
      <w:rFonts w:hint="eastAsia" w:ascii="宋体" w:hAnsi="宋体" w:eastAsia="宋体" w:cs="宋体"/>
      <w:b/>
      <w:color w:val="000000"/>
      <w:sz w:val="20"/>
      <w:szCs w:val="20"/>
      <w:u w:val="none"/>
    </w:rPr>
  </w:style>
  <w:style w:type="character" w:styleId="1144">
    <w:name w:val="批注文字 字符"/>
    <w:next w:val="1144"/>
    <w:link w:val="1005"/>
    <w:qFormat/>
    <w:rPr>
      <w:rFonts w:ascii="Times New Roman" w:hAnsi="Times New Roman" w:eastAsia="宋体" w:cs="Times New Roman"/>
      <w:sz w:val="24"/>
      <w:lang w:val="en-US" w:eastAsia="zh-CN" w:bidi="ar-SA"/>
    </w:rPr>
  </w:style>
  <w:style w:type="character" w:styleId="1145">
    <w:name w:val="z-窗体底端 Char"/>
    <w:next w:val="1145"/>
    <w:link w:val="1146"/>
    <w:qFormat/>
    <w:rPr>
      <w:rFonts w:ascii="Arial"/>
      <w:vanish/>
      <w:sz w:val="16"/>
      <w:szCs w:val="24"/>
    </w:rPr>
  </w:style>
  <w:style w:type="paragraph" w:styleId="1146">
    <w:name w:val="z-窗体底端1"/>
    <w:basedOn w:val="1005"/>
    <w:next w:val="1005"/>
    <w:link w:val="1145"/>
    <w:qFormat/>
    <w:pPr>
      <w:jc w:val="center"/>
      <w:pBdr>
        <w:top w:val="single" w:color="000000" w:sz="6" w:space="1"/>
      </w:pBdr>
    </w:pPr>
    <w:rPr>
      <w:rFonts w:ascii="Arial"/>
      <w:vanish/>
      <w:sz w:val="16"/>
    </w:rPr>
  </w:style>
  <w:style w:type="character" w:styleId="1147">
    <w:name w:val="HTML 预设格式 字符"/>
    <w:next w:val="1147"/>
    <w:link w:val="1005"/>
    <w:qFormat/>
    <w:rPr>
      <w:rFonts w:ascii="黑体" w:hAnsi="Courier New" w:eastAsia="黑体" w:cs="楷体_GB2312"/>
      <w:sz w:val="20"/>
      <w:szCs w:val="20"/>
    </w:rPr>
  </w:style>
  <w:style w:type="character" w:styleId="1148">
    <w:name w:val="Char Char11"/>
    <w:next w:val="1148"/>
    <w:link w:val="1005"/>
    <w:qFormat/>
    <w:rPr>
      <w:rFonts w:ascii="宋体" w:eastAsia="宋体"/>
      <w:b/>
      <w:sz w:val="24"/>
      <w:u w:val="single"/>
      <w:lang w:val="en-US" w:eastAsia="zh-CN" w:bidi="ar-SA"/>
    </w:rPr>
  </w:style>
  <w:style w:type="character" w:styleId="1149">
    <w:name w:val="bjh-p"/>
    <w:next w:val="1149"/>
    <w:link w:val="1005"/>
    <w:qFormat/>
  </w:style>
  <w:style w:type="character" w:styleId="1150">
    <w:name w:val="point_small1"/>
    <w:next w:val="1150"/>
    <w:link w:val="1005"/>
    <w:qFormat/>
    <w:rPr>
      <w:rFonts w:ascii="Arial" w:hAnsi="Arial" w:cs="Arial"/>
      <w:sz w:val="18"/>
      <w:szCs w:val="18"/>
    </w:rPr>
  </w:style>
  <w:style w:type="character" w:styleId="1151">
    <w:name w:val="Char Char5"/>
    <w:next w:val="1151"/>
    <w:link w:val="1005"/>
    <w:qFormat/>
    <w:rPr>
      <w:rFonts w:ascii="宋体" w:hAnsi="Courier New" w:eastAsia="宋体"/>
      <w:szCs w:val="21"/>
      <w:lang w:bidi="ar-SA"/>
    </w:rPr>
  </w:style>
  <w:style w:type="character" w:styleId="1152">
    <w:name w:val="标题 2 字符"/>
    <w:next w:val="1152"/>
    <w:link w:val="1005"/>
    <w:uiPriority w:val="9"/>
    <w:qFormat/>
    <w:rPr>
      <w:rFonts w:ascii="宋体" w:hAnsi="Times New Roman" w:eastAsia="宋体" w:cs="Times New Roman"/>
      <w:b/>
      <w:sz w:val="28"/>
      <w:szCs w:val="20"/>
    </w:rPr>
  </w:style>
  <w:style w:type="character" w:styleId="1153">
    <w:name w:val="正文缩进 字符"/>
    <w:next w:val="1153"/>
    <w:link w:val="1005"/>
    <w:qFormat/>
    <w:rPr>
      <w:rFonts w:ascii="Times New Roman" w:hAnsi="Times New Roman" w:eastAsia="宋体" w:cs="Times New Roman"/>
      <w:szCs w:val="20"/>
    </w:rPr>
  </w:style>
  <w:style w:type="character" w:styleId="1154">
    <w:name w:val="tpc_content1"/>
    <w:next w:val="1154"/>
    <w:link w:val="1005"/>
    <w:qFormat/>
    <w:rPr>
      <w:sz w:val="18"/>
      <w:szCs w:val="18"/>
    </w:rPr>
  </w:style>
  <w:style w:type="character" w:styleId="1155">
    <w:name w:val="标题 5 字符"/>
    <w:next w:val="1155"/>
    <w:link w:val="1005"/>
    <w:qFormat/>
    <w:rPr>
      <w:rFonts w:ascii="宋体" w:hAnsi="宋体" w:eastAsia="宋体" w:cs="Times New Roman"/>
      <w:color w:val="000000"/>
      <w:sz w:val="28"/>
      <w:szCs w:val="20"/>
    </w:rPr>
  </w:style>
  <w:style w:type="character" w:styleId="1156">
    <w:name w:val="chanpin1"/>
    <w:next w:val="1156"/>
    <w:link w:val="1005"/>
    <w:qFormat/>
    <w:rPr>
      <w:rFonts w:ascii="ˎ̥" w:hAnsi="ˎ̥"/>
      <w:color w:val="000000"/>
      <w:sz w:val="20"/>
      <w:szCs w:val="20"/>
      <w:u w:val="none"/>
    </w:rPr>
  </w:style>
  <w:style w:type="character" w:styleId="1157">
    <w:name w:val="标题 字符1"/>
    <w:next w:val="1157"/>
    <w:link w:val="1005"/>
    <w:uiPriority w:val="10"/>
    <w:rPr>
      <w:rFonts w:ascii="Cambria" w:hAnsi="Cambria" w:eastAsia="宋体" w:cs="Times New Roman"/>
      <w:b/>
      <w:bCs/>
      <w:sz w:val="32"/>
      <w:szCs w:val="32"/>
    </w:rPr>
  </w:style>
  <w:style w:type="character" w:styleId="1158">
    <w:name w:val="bt1"/>
    <w:next w:val="1158"/>
    <w:link w:val="1005"/>
    <w:qFormat/>
    <w:rPr>
      <w:color w:val="000000"/>
    </w:rPr>
  </w:style>
  <w:style w:type="character" w:styleId="1159">
    <w:name w:val="Header Char"/>
    <w:next w:val="1159"/>
    <w:link w:val="1005"/>
    <w:qFormat/>
    <w:rPr>
      <w:rFonts w:cs="Times New Roman"/>
      <w:sz w:val="18"/>
      <w:szCs w:val="18"/>
    </w:rPr>
  </w:style>
  <w:style w:type="character" w:styleId="1160">
    <w:name w:val="正文缩进 Char"/>
    <w:next w:val="1160"/>
    <w:link w:val="1005"/>
    <w:qFormat/>
    <w:rPr>
      <w:rFonts w:ascii="宋体" w:eastAsia="宋体"/>
      <w:sz w:val="24"/>
      <w:szCs w:val="24"/>
      <w:lang w:val="en-US" w:eastAsia="zh-CN" w:bidi="ar-SA"/>
    </w:rPr>
  </w:style>
  <w:style w:type="character" w:styleId="1161">
    <w:name w:val="unnamed31"/>
    <w:next w:val="1161"/>
    <w:link w:val="1005"/>
    <w:qFormat/>
    <w:rPr>
      <w:rFonts w:hint="eastAsia" w:ascii="幼圆" w:eastAsia="幼圆"/>
      <w:sz w:val="21"/>
      <w:szCs w:val="21"/>
    </w:rPr>
  </w:style>
  <w:style w:type="character" w:styleId="1162">
    <w:name w:val="正文首行缩进 2 Char1"/>
    <w:next w:val="1162"/>
    <w:link w:val="1005"/>
    <w:uiPriority w:val="99"/>
    <w:qFormat/>
  </w:style>
  <w:style w:type="character" w:styleId="1163">
    <w:name w:val="正文符号1 Char"/>
    <w:next w:val="1163"/>
    <w:link w:val="1164"/>
    <w:rPr>
      <w:rFonts w:eastAsia="楷体_GB2312"/>
      <w:sz w:val="28"/>
      <w:szCs w:val="24"/>
    </w:rPr>
  </w:style>
  <w:style w:type="paragraph" w:styleId="1164">
    <w:name w:val="正文符号1"/>
    <w:basedOn w:val="1165"/>
    <w:next w:val="1164"/>
    <w:link w:val="1163"/>
    <w:pPr>
      <w:ind w:left="987" w:firstLine="0"/>
      <w:tabs>
        <w:tab w:val="left" w:pos="987" w:leader="none"/>
      </w:tabs>
    </w:pPr>
  </w:style>
  <w:style w:type="paragraph" w:styleId="1165">
    <w:name w:val="正文首行缩进2字"/>
    <w:basedOn w:val="1005"/>
    <w:next w:val="1165"/>
    <w:link w:val="1166"/>
    <w:qFormat/>
    <w:pPr>
      <w:ind w:firstLine="560"/>
    </w:pPr>
    <w:rPr>
      <w:rFonts w:eastAsia="楷体_GB2312"/>
      <w:sz w:val="28"/>
    </w:rPr>
  </w:style>
  <w:style w:type="character" w:styleId="1166">
    <w:name w:val="正文首行缩进2字 Char"/>
    <w:next w:val="1166"/>
    <w:link w:val="1165"/>
    <w:qFormat/>
    <w:rPr>
      <w:rFonts w:eastAsia="楷体_GB2312"/>
      <w:sz w:val="28"/>
      <w:szCs w:val="24"/>
    </w:rPr>
  </w:style>
  <w:style w:type="character" w:styleId="1167">
    <w:name w:val="页眉 字符"/>
    <w:next w:val="1167"/>
    <w:link w:val="1005"/>
    <w:uiPriority w:val="99"/>
    <w:rPr>
      <w:rFonts w:ascii="Times New Roman" w:hAnsi="Times New Roman" w:eastAsia="宋体" w:cs="Times New Roman"/>
      <w:sz w:val="18"/>
      <w:szCs w:val="18"/>
    </w:rPr>
  </w:style>
  <w:style w:type="character" w:styleId="1168">
    <w:name w:val="正文格式 Char"/>
    <w:next w:val="1168"/>
    <w:link w:val="1169"/>
    <w:qFormat/>
    <w:rPr>
      <w:rFonts w:ascii="宋体" w:hAnsi="宋体"/>
      <w:sz w:val="24"/>
      <w:szCs w:val="24"/>
      <w:lang w:val="en-GB"/>
    </w:rPr>
  </w:style>
  <w:style w:type="paragraph" w:styleId="1169">
    <w:name w:val="正文格式"/>
    <w:basedOn w:val="1005"/>
    <w:next w:val="1169"/>
    <w:link w:val="1168"/>
    <w:qFormat/>
    <w:pPr>
      <w:ind w:firstLine="480"/>
      <w:spacing w:line="360" w:lineRule="auto"/>
    </w:pPr>
    <w:rPr>
      <w:rFonts w:ascii="宋体" w:hAnsi="宋体"/>
      <w:sz w:val="24"/>
      <w:lang w:val="en-GB"/>
    </w:rPr>
  </w:style>
  <w:style w:type="character" w:styleId="1170">
    <w:name w:val="引用 字符1"/>
    <w:next w:val="1170"/>
    <w:link w:val="1005"/>
    <w:uiPriority w:val="29"/>
    <w:rPr>
      <w:i/>
      <w:iCs/>
      <w:color w:val="404040"/>
      <w:sz w:val="21"/>
      <w:szCs w:val="24"/>
    </w:rPr>
  </w:style>
  <w:style w:type="character" w:styleId="1171">
    <w:name w:val="列出段落 Char"/>
    <w:next w:val="1171"/>
    <w:link w:val="1005"/>
    <w:qFormat/>
    <w:rPr>
      <w:rFonts w:ascii="Calibri" w:hAnsi="Calibri" w:eastAsia="宋体"/>
      <w:sz w:val="21"/>
      <w:szCs w:val="22"/>
      <w:lang w:val="en-US" w:eastAsia="zh-CN" w:bidi="ar-SA"/>
    </w:rPr>
  </w:style>
  <w:style w:type="character" w:styleId="1172">
    <w:name w:val="标题 2 Char"/>
    <w:next w:val="1172"/>
    <w:link w:val="1005"/>
    <w:qFormat/>
    <w:rPr>
      <w:rFonts w:ascii="Arial" w:hAnsi="Arial" w:eastAsia="黑体"/>
      <w:b/>
      <w:sz w:val="30"/>
      <w:lang w:val="en-US" w:eastAsia="zh-CN" w:bidi="ar-SA"/>
    </w:rPr>
  </w:style>
  <w:style w:type="character" w:styleId="1173">
    <w:name w:val="Table Text Char"/>
    <w:next w:val="1173"/>
    <w:link w:val="1174"/>
    <w:rPr>
      <w:rFonts w:ascii="Arial" w:hAnsi="Arial"/>
      <w:sz w:val="18"/>
      <w:szCs w:val="24"/>
    </w:rPr>
  </w:style>
  <w:style w:type="paragraph" w:styleId="1174">
    <w:name w:val="Table Text"/>
    <w:basedOn w:val="1005"/>
    <w:next w:val="1174"/>
    <w:link w:val="1173"/>
    <w:qFormat/>
    <w:pPr>
      <w:spacing w:before="80" w:after="80"/>
      <w:widowControl/>
      <w:tabs>
        <w:tab w:val="decimal" w:pos="0" w:leader="none"/>
      </w:tabs>
    </w:pPr>
    <w:rPr>
      <w:rFonts w:ascii="Arial" w:hAnsi="Arial"/>
      <w:sz w:val="18"/>
    </w:rPr>
  </w:style>
  <w:style w:type="character" w:styleId="1175">
    <w:name w:val="文档结构图 字符"/>
    <w:next w:val="1175"/>
    <w:link w:val="1005"/>
    <w:qFormat/>
    <w:rPr>
      <w:rFonts w:ascii="Times New Roman" w:hAnsi="Times New Roman" w:eastAsia="楷体_GB2312" w:cs="Times New Roman"/>
      <w:sz w:val="26"/>
      <w:szCs w:val="20"/>
      <w:shd w:val="clear" w:color="auto" w:fill="000080"/>
    </w:rPr>
  </w:style>
  <w:style w:type="character" w:styleId="1176">
    <w:name w:val="正文首行缩进2字 Char Char"/>
    <w:next w:val="1176"/>
    <w:link w:val="1005"/>
    <w:qFormat/>
    <w:rPr>
      <w:rFonts w:eastAsia="楷体_GB2312"/>
      <w:sz w:val="28"/>
      <w:szCs w:val="24"/>
      <w:lang w:val="en-US" w:eastAsia="zh-CN" w:bidi="ar-SA"/>
    </w:rPr>
  </w:style>
  <w:style w:type="character" w:styleId="1177">
    <w:name w:val="Footer Char"/>
    <w:next w:val="1177"/>
    <w:link w:val="1005"/>
    <w:rPr>
      <w:rFonts w:cs="Times New Roman"/>
      <w:sz w:val="18"/>
      <w:szCs w:val="18"/>
    </w:rPr>
  </w:style>
  <w:style w:type="character" w:styleId="1178">
    <w:name w:val="apple-style-span"/>
    <w:next w:val="1178"/>
    <w:link w:val="1005"/>
    <w:qFormat/>
    <w:rPr>
      <w:rFonts w:cs="Times New Roman"/>
    </w:rPr>
  </w:style>
  <w:style w:type="character" w:styleId="1179">
    <w:name w:val="locality"/>
    <w:next w:val="1179"/>
    <w:link w:val="1005"/>
    <w:qFormat/>
  </w:style>
  <w:style w:type="character" w:styleId="1180">
    <w:name w:val="段1 Char"/>
    <w:next w:val="1180"/>
    <w:link w:val="1005"/>
    <w:qFormat/>
    <w:rPr>
      <w:rFonts w:ascii="宋体" w:eastAsia="宋体"/>
      <w:sz w:val="24"/>
      <w:lang w:val="en-US" w:eastAsia="zh-CN" w:bidi="ar-SA"/>
    </w:rPr>
  </w:style>
  <w:style w:type="character" w:styleId="1181">
    <w:name w:val="标题 6 字符"/>
    <w:next w:val="1181"/>
    <w:link w:val="1005"/>
    <w:qFormat/>
    <w:rPr>
      <w:rFonts w:ascii="Arial" w:hAnsi="Arial" w:eastAsia="黑体" w:cs="Times New Roman"/>
      <w:b/>
      <w:bCs/>
      <w:sz w:val="24"/>
      <w:szCs w:val="24"/>
    </w:rPr>
  </w:style>
  <w:style w:type="character" w:styleId="1182">
    <w:name w:val="样式1 Char Char"/>
    <w:next w:val="1182"/>
    <w:link w:val="1183"/>
    <w:qFormat/>
    <w:rPr>
      <w:rFonts w:eastAsia="仿宋_GB2312"/>
      <w:spacing w:val="-6"/>
      <w:sz w:val="32"/>
      <w:szCs w:val="24"/>
    </w:rPr>
  </w:style>
  <w:style w:type="paragraph" w:styleId="1183">
    <w:name w:val="样式1"/>
    <w:basedOn w:val="1005"/>
    <w:next w:val="1183"/>
    <w:link w:val="1182"/>
    <w:qFormat/>
    <w:pPr>
      <w:spacing w:line="340" w:lineRule="auto"/>
    </w:pPr>
    <w:rPr>
      <w:rFonts w:eastAsia="仿宋_GB2312"/>
      <w:spacing w:val="-6"/>
      <w:sz w:val="32"/>
    </w:rPr>
  </w:style>
  <w:style w:type="character" w:styleId="1184">
    <w:name w:val="文字 Char Char"/>
    <w:next w:val="1184"/>
    <w:link w:val="1185"/>
    <w:qFormat/>
    <w:rPr>
      <w:rFonts w:ascii="宋体" w:hAnsi="宋体"/>
      <w:sz w:val="28"/>
    </w:rPr>
  </w:style>
  <w:style w:type="paragraph" w:styleId="1185">
    <w:name w:val="文字"/>
    <w:basedOn w:val="1005"/>
    <w:next w:val="1185"/>
    <w:link w:val="1184"/>
    <w:qFormat/>
    <w:pPr>
      <w:ind w:right="-210" w:firstLine="556"/>
      <w:spacing w:line="312" w:lineRule="auto"/>
      <w:tabs>
        <w:tab w:val="left" w:pos="8520" w:leader="none"/>
      </w:tabs>
    </w:pPr>
    <w:rPr>
      <w:rFonts w:ascii="宋体" w:hAnsi="宋体"/>
      <w:sz w:val="28"/>
      <w:szCs w:val="20"/>
    </w:rPr>
  </w:style>
  <w:style w:type="character" w:styleId="1186">
    <w:name w:val="标题 3 Char"/>
    <w:next w:val="1186"/>
    <w:link w:val="1005"/>
    <w:qFormat/>
    <w:rPr>
      <w:rFonts w:ascii="宋体" w:eastAsia="宋体"/>
      <w:b/>
      <w:sz w:val="24"/>
      <w:u w:val="single"/>
      <w:lang w:val="en-US" w:eastAsia="zh-CN" w:bidi="ar-SA"/>
    </w:rPr>
  </w:style>
  <w:style w:type="character" w:styleId="1187">
    <w:name w:val="明显引用 Char"/>
    <w:next w:val="1187"/>
    <w:link w:val="1188"/>
    <w:uiPriority w:val="30"/>
    <w:qFormat/>
    <w:rPr>
      <w:b/>
      <w:bCs/>
      <w:i/>
      <w:iCs/>
      <w:color w:val="4f81bd"/>
      <w:szCs w:val="24"/>
    </w:rPr>
  </w:style>
  <w:style w:type="paragraph" w:styleId="1188">
    <w:name w:val="明显引用"/>
    <w:basedOn w:val="1005"/>
    <w:next w:val="1005"/>
    <w:link w:val="1187"/>
    <w:uiPriority w:val="30"/>
    <w:qFormat/>
    <w:pPr>
      <w:ind w:left="936" w:right="936"/>
      <w:spacing w:before="200" w:after="280"/>
      <w:pBdr>
        <w:bottom w:val="single" w:color="4F81BD" w:sz="4" w:space="4"/>
      </w:pBdr>
    </w:pPr>
    <w:rPr>
      <w:b/>
      <w:bCs/>
      <w:i/>
      <w:iCs/>
      <w:color w:val="4f81bd"/>
      <w:sz w:val="20"/>
    </w:rPr>
  </w:style>
  <w:style w:type="character" w:styleId="1189">
    <w:name w:val="纯文本 Char1"/>
    <w:next w:val="1189"/>
    <w:link w:val="1005"/>
    <w:uiPriority w:val="99"/>
    <w:qFormat/>
    <w:rPr>
      <w:rFonts w:ascii="宋体" w:hAnsi="Courier New" w:eastAsia="宋体"/>
      <w:sz w:val="21"/>
      <w:lang w:val="en-US" w:eastAsia="zh-CN" w:bidi="ar-SA"/>
    </w:rPr>
  </w:style>
  <w:style w:type="character" w:styleId="1190">
    <w:name w:val="正文首行缩进 2 字符"/>
    <w:next w:val="1190"/>
    <w:link w:val="1005"/>
    <w:qFormat/>
    <w:rPr>
      <w:rFonts w:ascii="仿宋_GB2312" w:hAnsi="Arial" w:eastAsia="仿宋_GB2312" w:cs="Times New Roman"/>
      <w:b/>
      <w:color w:val="000000"/>
      <w:sz w:val="28"/>
      <w:szCs w:val="32"/>
      <w:lang w:val="en-US" w:eastAsia="zh-CN" w:bidi="ar-SA"/>
    </w:rPr>
  </w:style>
  <w:style w:type="character" w:styleId="1191">
    <w:name w:val="正文文本缩进 字符"/>
    <w:next w:val="1191"/>
    <w:link w:val="1005"/>
    <w:uiPriority w:val="99"/>
    <w:rPr>
      <w:rFonts w:ascii="Times New Roman" w:hAnsi="Times New Roman" w:eastAsia="宋体" w:cs="Times New Roman"/>
      <w:szCs w:val="20"/>
    </w:rPr>
  </w:style>
  <w:style w:type="character" w:styleId="1192">
    <w:name w:val="正文重点 Char"/>
    <w:next w:val="1192"/>
    <w:link w:val="1193"/>
    <w:qFormat/>
    <w:rPr>
      <w:b/>
      <w:sz w:val="24"/>
    </w:rPr>
  </w:style>
  <w:style w:type="paragraph" w:styleId="1193">
    <w:name w:val="正文重点"/>
    <w:basedOn w:val="1005"/>
    <w:next w:val="1193"/>
    <w:link w:val="1192"/>
    <w:qFormat/>
    <w:pPr>
      <w:ind w:firstLine="482"/>
      <w:jc w:val="left"/>
      <w:spacing w:line="360" w:lineRule="auto"/>
    </w:pPr>
    <w:rPr>
      <w:b/>
      <w:sz w:val="24"/>
      <w:szCs w:val="20"/>
    </w:rPr>
  </w:style>
  <w:style w:type="character" w:styleId="1194">
    <w:name w:val="Unresolved Mention"/>
    <w:next w:val="1194"/>
    <w:link w:val="1005"/>
    <w:uiPriority w:val="99"/>
    <w:unhideWhenUsed/>
    <w:rPr>
      <w:color w:val="808080"/>
      <w:shd w:val="clear" w:color="auto" w:fill="e6e6e6"/>
    </w:rPr>
  </w:style>
  <w:style w:type="character" w:styleId="1195">
    <w:name w:val="st1"/>
    <w:next w:val="1195"/>
    <w:link w:val="1005"/>
    <w:qFormat/>
  </w:style>
  <w:style w:type="character" w:styleId="1196">
    <w:name w:val="标书正文格式 Char Char"/>
    <w:next w:val="1196"/>
    <w:link w:val="1005"/>
    <w:qFormat/>
    <w:rPr>
      <w:rFonts w:eastAsia="楷体_GB2312"/>
      <w:sz w:val="24"/>
      <w:szCs w:val="24"/>
      <w:lang w:bidi="ar-SA"/>
    </w:rPr>
  </w:style>
  <w:style w:type="character" w:styleId="1197">
    <w:name w:val="正文_标准 Char Char"/>
    <w:next w:val="1197"/>
    <w:link w:val="1198"/>
    <w:qFormat/>
    <w:rPr>
      <w:rFonts w:ascii="宋体" w:hAnsi="宋体"/>
      <w:sz w:val="24"/>
    </w:rPr>
  </w:style>
  <w:style w:type="paragraph" w:styleId="1198">
    <w:name w:val="正文_标准"/>
    <w:basedOn w:val="1005"/>
    <w:next w:val="1198"/>
    <w:link w:val="1197"/>
    <w:qFormat/>
    <w:pPr>
      <w:ind w:firstLine="480"/>
      <w:spacing w:line="360" w:lineRule="auto"/>
    </w:pPr>
    <w:rPr>
      <w:rFonts w:ascii="宋体" w:hAnsi="宋体"/>
      <w:sz w:val="24"/>
      <w:szCs w:val="20"/>
    </w:rPr>
  </w:style>
  <w:style w:type="character" w:styleId="1199">
    <w:name w:val="成文日期 Char"/>
    <w:next w:val="1199"/>
    <w:link w:val="1200"/>
    <w:rPr>
      <w:rFonts w:ascii="仿宋_GB2312" w:eastAsia="仿宋_GB2312"/>
      <w:sz w:val="32"/>
    </w:rPr>
  </w:style>
  <w:style w:type="paragraph" w:styleId="1200">
    <w:name w:val="成文日期"/>
    <w:basedOn w:val="1005"/>
    <w:next w:val="1200"/>
    <w:link w:val="1199"/>
    <w:qFormat/>
    <w:pPr>
      <w:ind w:right="400" w:firstLine="200"/>
      <w:jc w:val="right"/>
      <w:spacing w:line="570" w:lineRule="exact"/>
    </w:pPr>
    <w:rPr>
      <w:rFonts w:ascii="仿宋_GB2312" w:eastAsia="仿宋_GB2312"/>
      <w:sz w:val="32"/>
      <w:szCs w:val="20"/>
    </w:rPr>
  </w:style>
  <w:style w:type="character" w:styleId="1201">
    <w:name w:val="标题 1 字符"/>
    <w:next w:val="1201"/>
    <w:link w:val="1005"/>
    <w:qFormat/>
    <w:rPr>
      <w:rFonts w:ascii="Times New Roman" w:hAnsi="Times New Roman" w:eastAsia="楷体_GB2312" w:cs="Times New Roman"/>
      <w:b/>
      <w:bCs/>
      <w:sz w:val="44"/>
      <w:szCs w:val="44"/>
    </w:rPr>
  </w:style>
  <w:style w:type="character" w:styleId="1202">
    <w:name w:val="标题 3 Char Char"/>
    <w:next w:val="1202"/>
    <w:link w:val="1005"/>
    <w:qFormat/>
    <w:rPr>
      <w:rFonts w:eastAsia="宋体"/>
      <w:b/>
      <w:bCs/>
      <w:sz w:val="32"/>
      <w:szCs w:val="32"/>
      <w:lang w:val="en-US" w:eastAsia="zh-CN" w:bidi="ar-SA"/>
    </w:rPr>
  </w:style>
  <w:style w:type="character" w:styleId="1203">
    <w:name w:val="font21"/>
    <w:next w:val="1203"/>
    <w:link w:val="1005"/>
    <w:qFormat/>
    <w:rPr>
      <w:rFonts w:ascii="Times New Roman" w:hAnsi="Times New Roman" w:cs="Times New Roman"/>
      <w:b/>
      <w:color w:val="000000"/>
      <w:sz w:val="20"/>
      <w:szCs w:val="20"/>
      <w:u w:val="none"/>
    </w:rPr>
  </w:style>
  <w:style w:type="character" w:styleId="1204">
    <w:name w:val="正文new Char Char"/>
    <w:next w:val="1204"/>
    <w:link w:val="1205"/>
    <w:rPr>
      <w:rFonts w:cs="宋体"/>
      <w:sz w:val="24"/>
    </w:rPr>
  </w:style>
  <w:style w:type="paragraph" w:styleId="1205">
    <w:name w:val="正文new"/>
    <w:basedOn w:val="1005"/>
    <w:next w:val="1205"/>
    <w:link w:val="1204"/>
    <w:qFormat/>
    <w:pPr>
      <w:ind w:firstLine="200"/>
      <w:spacing w:line="300" w:lineRule="auto"/>
    </w:pPr>
    <w:rPr>
      <w:sz w:val="24"/>
      <w:szCs w:val="20"/>
    </w:rPr>
  </w:style>
  <w:style w:type="character" w:styleId="1206">
    <w:name w:val="prodname1"/>
    <w:next w:val="1206"/>
    <w:link w:val="1005"/>
    <w:qFormat/>
    <w:rPr>
      <w:b/>
      <w:bCs/>
      <w:color w:val="347ca9"/>
      <w:sz w:val="17"/>
      <w:szCs w:val="17"/>
    </w:rPr>
  </w:style>
  <w:style w:type="character" w:styleId="1207">
    <w:name w:val="正文文本 Char1"/>
    <w:next w:val="1207"/>
    <w:link w:val="1005"/>
    <w:qFormat/>
    <w:rPr>
      <w:rFonts w:ascii="宋体" w:hAnsi="宋体"/>
      <w:sz w:val="24"/>
      <w:szCs w:val="24"/>
    </w:rPr>
  </w:style>
  <w:style w:type="character" w:styleId="1208">
    <w:name w:val="正文首行缩进 Char1"/>
    <w:next w:val="1208"/>
    <w:link w:val="1005"/>
    <w:uiPriority w:val="99"/>
  </w:style>
  <w:style w:type="character" w:styleId="1209">
    <w:name w:val="font51"/>
    <w:next w:val="1209"/>
    <w:link w:val="1005"/>
    <w:qFormat/>
    <w:rPr>
      <w:rFonts w:hint="eastAsia" w:ascii="宋体" w:hAnsi="宋体" w:eastAsia="宋体" w:cs="宋体"/>
      <w:color w:val="000000"/>
      <w:sz w:val="18"/>
      <w:szCs w:val="18"/>
      <w:u w:val="none"/>
    </w:rPr>
  </w:style>
  <w:style w:type="character" w:styleId="1210">
    <w:name w:val="unnamed21"/>
    <w:next w:val="1210"/>
    <w:link w:val="1005"/>
    <w:qFormat/>
    <w:rPr>
      <w:rFonts w:hint="eastAsia" w:ascii="宋体" w:hAnsi="宋体" w:eastAsia="宋体"/>
      <w:sz w:val="24"/>
      <w:szCs w:val="24"/>
    </w:rPr>
  </w:style>
  <w:style w:type="character" w:styleId="1211">
    <w:name w:val="引用 Char"/>
    <w:next w:val="1211"/>
    <w:link w:val="1212"/>
    <w:uiPriority w:val="29"/>
    <w:qFormat/>
    <w:rPr>
      <w:i/>
      <w:iCs/>
      <w:color w:val="000000"/>
      <w:szCs w:val="24"/>
    </w:rPr>
  </w:style>
  <w:style w:type="paragraph" w:styleId="1212">
    <w:name w:val="引用"/>
    <w:basedOn w:val="1005"/>
    <w:next w:val="1005"/>
    <w:link w:val="1211"/>
    <w:uiPriority w:val="29"/>
    <w:qFormat/>
    <w:rPr>
      <w:i/>
      <w:iCs/>
      <w:color w:val="000000"/>
      <w:sz w:val="20"/>
    </w:rPr>
  </w:style>
  <w:style w:type="character" w:styleId="1213">
    <w:name w:val="纯文本 字符,普通文字 Char 字符,普通文字1 字符,普通文字2 字符,普通文字3 字符,普通文字4 字符,普通文字5 字符,普通文字6 字符,普通文字11 字符,普通文字21 字符,普通文字31 字符,普通文字41 字符,普通文字7 字符,小 字符,纯文本 Char Char Char 字符,正 文 1 字符,普通文字 字符,纯文本 Char Char 字符,普通文字 Char Char 字符,Texte 字符,孙普文字 字符,普通文 字符"/>
    <w:next w:val="1213"/>
    <w:link w:val="1005"/>
    <w:qFormat/>
    <w:rPr>
      <w:rFonts w:ascii="宋体" w:hAnsi="Courier New" w:eastAsia="宋体" w:cs="Times New Roman"/>
      <w:sz w:val="21"/>
      <w:szCs w:val="21"/>
      <w:lang w:val="en-US" w:eastAsia="zh-CN" w:bidi="ar-SA"/>
    </w:rPr>
  </w:style>
  <w:style w:type="character" w:styleId="1214">
    <w:name w:val="标题 2 Char Char"/>
    <w:next w:val="1214"/>
    <w:link w:val="1005"/>
    <w:qFormat/>
    <w:rPr>
      <w:rFonts w:ascii="Arial" w:hAnsi="Arial" w:eastAsia="黑体"/>
      <w:b/>
      <w:bCs/>
      <w:sz w:val="32"/>
      <w:szCs w:val="32"/>
      <w:lang w:val="en-US" w:eastAsia="zh-CN" w:bidi="ar-SA"/>
    </w:rPr>
  </w:style>
  <w:style w:type="character" w:styleId="1215">
    <w:name w:val="标题 3 字符"/>
    <w:next w:val="1215"/>
    <w:link w:val="1005"/>
    <w:uiPriority w:val="99"/>
    <w:qFormat/>
    <w:rPr>
      <w:rFonts w:ascii="宋体" w:hAnsi="Times New Roman" w:eastAsia="宋体" w:cs="Times New Roman"/>
      <w:b/>
      <w:sz w:val="24"/>
      <w:szCs w:val="20"/>
      <w:u w:val="single"/>
    </w:rPr>
  </w:style>
  <w:style w:type="character" w:styleId="1216">
    <w:name w:val="正文首行缩进 2 字符1"/>
    <w:next w:val="1216"/>
    <w:link w:val="1005"/>
    <w:uiPriority w:val="99"/>
    <w:semiHidden/>
  </w:style>
  <w:style w:type="character" w:styleId="1217">
    <w:name w:val="标题 8 字符"/>
    <w:next w:val="1217"/>
    <w:link w:val="1005"/>
    <w:qFormat/>
    <w:rPr>
      <w:rFonts w:ascii="Arial" w:hAnsi="Arial" w:eastAsia="黑体" w:cs="Times New Roman"/>
      <w:sz w:val="24"/>
      <w:szCs w:val="24"/>
    </w:rPr>
  </w:style>
  <w:style w:type="character" w:styleId="1218">
    <w:name w:val="批注主题 字符"/>
    <w:next w:val="1218"/>
    <w:link w:val="1005"/>
    <w:rPr>
      <w:rFonts w:ascii="Times New Roman" w:hAnsi="Times New Roman" w:eastAsia="宋体" w:cs="Times New Roman"/>
      <w:b/>
      <w:bCs/>
      <w:sz w:val="20"/>
      <w:szCs w:val="20"/>
      <w:lang w:val="en-US" w:eastAsia="zh-CN" w:bidi="ar-SA"/>
    </w:rPr>
  </w:style>
  <w:style w:type="character" w:styleId="1219">
    <w:name w:val="引用 Char1"/>
    <w:next w:val="1219"/>
    <w:link w:val="1005"/>
    <w:uiPriority w:val="29"/>
    <w:qFormat/>
    <w:rPr>
      <w:rFonts w:ascii="Times New Roman" w:hAnsi="Times New Roman" w:eastAsia="宋体" w:cs="Times New Roman"/>
      <w:i/>
      <w:iCs/>
      <w:color w:val="000000"/>
      <w:szCs w:val="24"/>
    </w:rPr>
  </w:style>
  <w:style w:type="character" w:styleId="1220">
    <w:name w:val="列出段落 Char1"/>
    <w:next w:val="1220"/>
    <w:link w:val="1221"/>
    <w:uiPriority w:val="34"/>
    <w:qFormat/>
    <w:rPr>
      <w:rFonts w:ascii="Calibri" w:hAnsi="Calibri" w:eastAsia="宋体"/>
      <w:sz w:val="21"/>
      <w:szCs w:val="22"/>
      <w:lang w:val="en-US" w:eastAsia="zh-CN" w:bidi="ar-SA"/>
    </w:rPr>
  </w:style>
  <w:style w:type="paragraph" w:styleId="1221">
    <w:name w:val="列出段落"/>
    <w:basedOn w:val="1005"/>
    <w:next w:val="1221"/>
    <w:link w:val="1220"/>
    <w:uiPriority w:val="34"/>
    <w:qFormat/>
    <w:pPr>
      <w:ind w:firstLine="420"/>
    </w:pPr>
    <w:rPr>
      <w:rFonts w:ascii="Calibri" w:hAnsi="Calibri"/>
      <w:szCs w:val="22"/>
    </w:rPr>
  </w:style>
  <w:style w:type="character" w:styleId="1222">
    <w:name w:val="style21"/>
    <w:next w:val="1222"/>
    <w:link w:val="1005"/>
    <w:uiPriority w:val="99"/>
    <w:qFormat/>
    <w:rPr>
      <w:color w:val="0000a0"/>
      <w:sz w:val="33"/>
      <w:szCs w:val="33"/>
    </w:rPr>
  </w:style>
  <w:style w:type="character" w:styleId="1223">
    <w:name w:val="明显强调1"/>
    <w:next w:val="1223"/>
    <w:link w:val="1005"/>
    <w:uiPriority w:val="21"/>
    <w:qFormat/>
    <w:rPr>
      <w:b/>
      <w:bCs/>
      <w:i/>
      <w:iCs/>
      <w:color w:val="4f81bd"/>
    </w:rPr>
  </w:style>
  <w:style w:type="character" w:styleId="1224">
    <w:name w:val="引用 Char2"/>
    <w:next w:val="1224"/>
    <w:link w:val="1005"/>
    <w:uiPriority w:val="29"/>
    <w:rPr>
      <w:i/>
      <w:iCs/>
      <w:color w:val="000000"/>
    </w:rPr>
  </w:style>
  <w:style w:type="character" w:styleId="1225">
    <w:name w:val="unnamed1"/>
    <w:next w:val="1225"/>
    <w:link w:val="1005"/>
    <w:qFormat/>
  </w:style>
  <w:style w:type="character" w:styleId="1226">
    <w:name w:val="正文文本缩进 Char"/>
    <w:next w:val="1226"/>
    <w:link w:val="1005"/>
    <w:uiPriority w:val="99"/>
    <w:qFormat/>
    <w:rPr>
      <w:rFonts w:eastAsia="宋体"/>
      <w:sz w:val="24"/>
      <w:szCs w:val="24"/>
      <w:lang w:val="en-US" w:eastAsia="zh-CN" w:bidi="ar-SA"/>
    </w:rPr>
  </w:style>
  <w:style w:type="character" w:styleId="1227">
    <w:name w:val="不明显参考1"/>
    <w:next w:val="1227"/>
    <w:link w:val="1005"/>
    <w:uiPriority w:val="31"/>
    <w:qFormat/>
    <w:rPr>
      <w:smallCaps/>
      <w:color w:val="c0504d"/>
      <w:u w:val="single"/>
    </w:rPr>
  </w:style>
  <w:style w:type="character" w:styleId="1228">
    <w:name w:val="页眉 Char"/>
    <w:next w:val="1228"/>
    <w:link w:val="1005"/>
    <w:uiPriority w:val="99"/>
    <w:qFormat/>
    <w:rPr>
      <w:rFonts w:eastAsia="宋体"/>
      <w:sz w:val="18"/>
      <w:szCs w:val="18"/>
      <w:lang w:val="en-US" w:eastAsia="zh-CN" w:bidi="ar-SA"/>
    </w:rPr>
  </w:style>
  <w:style w:type="character" w:styleId="1229">
    <w:name w:val="Plain Text Char"/>
    <w:next w:val="1229"/>
    <w:link w:val="1005"/>
    <w:uiPriority w:val="99"/>
    <w:qFormat/>
    <w:rPr>
      <w:rFonts w:ascii="宋体" w:hAnsi="Courier New" w:cs="宋体"/>
      <w:sz w:val="21"/>
      <w:szCs w:val="21"/>
    </w:rPr>
  </w:style>
  <w:style w:type="character" w:styleId="1230">
    <w:name w:val="c21"/>
    <w:next w:val="1230"/>
    <w:link w:val="1005"/>
    <w:qFormat/>
    <w:rPr>
      <w:rFonts w:ascii="ˎ̥" w:hAnsi="ˎ̥"/>
      <w:color w:val="000000"/>
      <w:sz w:val="20"/>
      <w:szCs w:val="20"/>
      <w:u w:val="none"/>
    </w:rPr>
  </w:style>
  <w:style w:type="character" w:styleId="1231">
    <w:name w:val="font01"/>
    <w:next w:val="1231"/>
    <w:link w:val="1005"/>
    <w:qFormat/>
    <w:rPr>
      <w:rFonts w:hint="eastAsia" w:ascii="仿宋" w:hAnsi="仿宋" w:eastAsia="仿宋" w:cs="仿宋"/>
      <w:color w:val="000000"/>
      <w:sz w:val="22"/>
      <w:szCs w:val="22"/>
      <w:u w:val="none"/>
    </w:rPr>
  </w:style>
  <w:style w:type="character" w:styleId="1232">
    <w:name w:val="纯文本 Char"/>
    <w:next w:val="1232"/>
    <w:link w:val="1005"/>
    <w:qFormat/>
    <w:rPr>
      <w:rFonts w:hint="eastAsia" w:ascii="宋体" w:hAnsi="Courier New" w:eastAsia="宋体" w:cs="宋体"/>
      <w:sz w:val="21"/>
    </w:rPr>
  </w:style>
  <w:style w:type="character" w:styleId="1233">
    <w:name w:val="txt"/>
    <w:next w:val="1233"/>
    <w:link w:val="1005"/>
    <w:qFormat/>
  </w:style>
  <w:style w:type="character" w:styleId="1234">
    <w:name w:val="正文文本缩进 Char1"/>
    <w:next w:val="1234"/>
    <w:link w:val="1235"/>
    <w:qFormat/>
    <w:rPr>
      <w:rFonts w:ascii="宋体" w:hAnsi="宋体" w:eastAsia="宋体"/>
      <w:sz w:val="24"/>
      <w:szCs w:val="24"/>
      <w:lang w:bidi="ar-SA"/>
    </w:rPr>
  </w:style>
  <w:style w:type="paragraph" w:styleId="1235">
    <w:name w:val="正文文本缩进1"/>
    <w:basedOn w:val="1005"/>
    <w:next w:val="1235"/>
    <w:link w:val="1234"/>
    <w:qFormat/>
    <w:pPr>
      <w:ind w:firstLine="480"/>
      <w:spacing w:line="480" w:lineRule="exact"/>
    </w:pPr>
    <w:rPr>
      <w:rFonts w:ascii="宋体" w:hAnsi="宋体"/>
      <w:sz w:val="24"/>
    </w:rPr>
  </w:style>
  <w:style w:type="character" w:styleId="1236">
    <w:name w:val="副标题 字符1"/>
    <w:next w:val="1236"/>
    <w:link w:val="1005"/>
    <w:uiPriority w:val="11"/>
    <w:rPr>
      <w:rFonts w:ascii="等线 Light" w:hAnsi="等线 Light" w:cs="Times New Roman"/>
      <w:b/>
      <w:bCs/>
      <w:sz w:val="32"/>
      <w:szCs w:val="32"/>
    </w:rPr>
  </w:style>
  <w:style w:type="character" w:styleId="1237">
    <w:name w:val="无间隔 Char"/>
    <w:next w:val="1237"/>
    <w:link w:val="1238"/>
    <w:uiPriority w:val="1"/>
    <w:rPr>
      <w:sz w:val="21"/>
      <w:szCs w:val="24"/>
      <w:lang w:val="en-US" w:eastAsia="zh-CN" w:bidi="ar-SA"/>
    </w:rPr>
  </w:style>
  <w:style w:type="paragraph" w:styleId="1238">
    <w:name w:val="无间隔"/>
    <w:next w:val="1238"/>
    <w:link w:val="1237"/>
    <w:uiPriority w:val="1"/>
    <w:qFormat/>
    <w:pPr>
      <w:jc w:val="both"/>
      <w:widowControl w:val="off"/>
    </w:pPr>
    <w:rPr>
      <w:sz w:val="21"/>
      <w:szCs w:val="24"/>
      <w:lang w:val="en-US" w:eastAsia="zh-CN" w:bidi="ar-SA"/>
    </w:rPr>
  </w:style>
  <w:style w:type="character" w:styleId="1239">
    <w:name w:val="+正文 Char"/>
    <w:next w:val="1239"/>
    <w:link w:val="1240"/>
    <w:qFormat/>
    <w:rPr>
      <w:sz w:val="24"/>
      <w:szCs w:val="28"/>
    </w:rPr>
  </w:style>
  <w:style w:type="paragraph" w:styleId="1240">
    <w:name w:val="+正文"/>
    <w:basedOn w:val="1005"/>
    <w:next w:val="1240"/>
    <w:link w:val="1239"/>
    <w:qFormat/>
    <w:pPr>
      <w:ind w:firstLine="200"/>
      <w:spacing w:line="360" w:lineRule="auto"/>
    </w:pPr>
    <w:rPr>
      <w:sz w:val="24"/>
      <w:szCs w:val="28"/>
    </w:rPr>
  </w:style>
  <w:style w:type="character" w:styleId="1241">
    <w:name w:val="txt1"/>
    <w:next w:val="1241"/>
    <w:link w:val="1005"/>
    <w:qFormat/>
    <w:rPr>
      <w:color w:val="000099"/>
      <w:sz w:val="20"/>
      <w:szCs w:val="20"/>
      <w:u w:val="none"/>
    </w:rPr>
  </w:style>
  <w:style w:type="character" w:styleId="1242">
    <w:name w:val="明显引用 Char1"/>
    <w:next w:val="1242"/>
    <w:link w:val="1005"/>
    <w:uiPriority w:val="30"/>
    <w:qFormat/>
    <w:rPr>
      <w:b/>
      <w:bCs/>
      <w:i/>
      <w:iCs/>
      <w:color w:val="4f81bd"/>
    </w:rPr>
  </w:style>
  <w:style w:type="character" w:styleId="1243">
    <w:name w:val="项目编号（2） Char Char"/>
    <w:next w:val="1243"/>
    <w:link w:val="1244"/>
    <w:qFormat/>
    <w:rPr>
      <w:rFonts w:cs="宋体"/>
      <w:sz w:val="24"/>
    </w:rPr>
  </w:style>
  <w:style w:type="paragraph" w:styleId="1244">
    <w:name w:val="项目编号（2）"/>
    <w:basedOn w:val="1005"/>
    <w:next w:val="1244"/>
    <w:link w:val="1243"/>
    <w:qFormat/>
    <w:pPr>
      <w:ind w:left="960" w:hanging="420"/>
      <w:spacing w:line="300" w:lineRule="auto"/>
      <w:tabs>
        <w:tab w:val="left" w:pos="960" w:leader="none"/>
      </w:tabs>
    </w:pPr>
    <w:rPr>
      <w:sz w:val="24"/>
      <w:szCs w:val="20"/>
    </w:rPr>
  </w:style>
  <w:style w:type="character" w:styleId="1245">
    <w:name w:val="中等深浅网格 1 - 强调文字颜色 2 Char"/>
    <w:next w:val="1245"/>
    <w:link w:val="1246"/>
    <w:qFormat/>
    <w:rPr>
      <w:sz w:val="21"/>
      <w:szCs w:val="24"/>
      <w:lang w:val="zh-CN" w:eastAsia="zh-CN" w:bidi="ar-SA"/>
    </w:rPr>
  </w:style>
  <w:style w:type="paragraph" w:styleId="1246">
    <w:name w:val="1"/>
    <w:next w:val="1246"/>
    <w:link w:val="1245"/>
    <w:qFormat/>
    <w:rPr>
      <w:sz w:val="21"/>
      <w:szCs w:val="24"/>
      <w:lang w:val="zh-CN" w:eastAsia="zh-CN" w:bidi="ar-SA"/>
    </w:rPr>
  </w:style>
  <w:style w:type="character" w:styleId="1247">
    <w:name w:val="正文文本 3 字符"/>
    <w:next w:val="1247"/>
    <w:link w:val="1005"/>
    <w:qFormat/>
    <w:rPr>
      <w:b/>
      <w:color w:val="000000"/>
      <w:sz w:val="32"/>
      <w:szCs w:val="28"/>
      <w:u w:val="single"/>
    </w:rPr>
  </w:style>
  <w:style w:type="character" w:styleId="1248">
    <w:name w:val="注释 Char"/>
    <w:next w:val="1248"/>
    <w:link w:val="1249"/>
    <w:qFormat/>
    <w:rPr>
      <w:rFonts w:ascii="宋体" w:hAnsi="宋体"/>
      <w:sz w:val="21"/>
      <w:szCs w:val="21"/>
    </w:rPr>
  </w:style>
  <w:style w:type="paragraph" w:styleId="1249">
    <w:name w:val="注释"/>
    <w:basedOn w:val="1005"/>
    <w:next w:val="1249"/>
    <w:link w:val="1248"/>
    <w:qFormat/>
    <w:pPr>
      <w:ind w:left="420" w:hanging="420"/>
      <w:jc w:val="left"/>
    </w:pPr>
    <w:rPr>
      <w:rFonts w:ascii="宋体" w:hAnsi="宋体"/>
      <w:szCs w:val="21"/>
    </w:rPr>
  </w:style>
  <w:style w:type="character" w:styleId="1250">
    <w:name w:val="正文符号1 Char Char"/>
    <w:next w:val="1250"/>
    <w:link w:val="1005"/>
    <w:qFormat/>
    <w:rPr>
      <w:rFonts w:eastAsia="楷体_GB2312"/>
      <w:sz w:val="28"/>
      <w:szCs w:val="24"/>
      <w:lang w:val="en-US" w:eastAsia="zh-CN" w:bidi="ar-SA"/>
    </w:rPr>
  </w:style>
  <w:style w:type="character" w:styleId="1251">
    <w:name w:val="正文文本缩进 3 字符"/>
    <w:next w:val="1251"/>
    <w:link w:val="1005"/>
    <w:qFormat/>
    <w:rPr>
      <w:rFonts w:ascii="宋体" w:hAnsi="宋体" w:eastAsia="宋体" w:cs="Times New Roman"/>
      <w:color w:val="0000ff"/>
      <w:sz w:val="24"/>
      <w:szCs w:val="24"/>
    </w:rPr>
  </w:style>
  <w:style w:type="character" w:styleId="1252">
    <w:name w:val="正文文本 3 Char1"/>
    <w:next w:val="1252"/>
    <w:link w:val="1005"/>
    <w:uiPriority w:val="99"/>
    <w:rPr>
      <w:sz w:val="16"/>
      <w:szCs w:val="16"/>
    </w:rPr>
  </w:style>
  <w:style w:type="character" w:styleId="1253">
    <w:name w:val="正文文本缩进 2 字符"/>
    <w:next w:val="1253"/>
    <w:link w:val="1005"/>
    <w:uiPriority w:val="99"/>
    <w:qFormat/>
    <w:rPr>
      <w:rFonts w:ascii="宋体" w:hAnsi="宋体" w:eastAsia="宋体" w:cs="Times New Roman"/>
      <w:b/>
      <w:bCs/>
      <w:sz w:val="24"/>
      <w:szCs w:val="24"/>
    </w:rPr>
  </w:style>
  <w:style w:type="character" w:styleId="1254">
    <w:name w:val="chanpin拷贝"/>
    <w:next w:val="1254"/>
    <w:link w:val="1005"/>
    <w:qFormat/>
  </w:style>
  <w:style w:type="character" w:styleId="1255">
    <w:name w:val="签名 字符1"/>
    <w:next w:val="1255"/>
    <w:link w:val="1005"/>
    <w:uiPriority w:val="99"/>
    <w:rPr>
      <w:sz w:val="21"/>
      <w:szCs w:val="24"/>
    </w:rPr>
  </w:style>
  <w:style w:type="character" w:styleId="1256">
    <w:name w:val="Char Char111"/>
    <w:next w:val="1256"/>
    <w:link w:val="1005"/>
    <w:qFormat/>
    <w:rPr>
      <w:rFonts w:ascii="宋体" w:eastAsia="宋体"/>
      <w:b/>
      <w:sz w:val="24"/>
      <w:u w:val="single"/>
      <w:lang w:val="en-US" w:eastAsia="zh-CN" w:bidi="ar-SA"/>
    </w:rPr>
  </w:style>
  <w:style w:type="character" w:styleId="1257">
    <w:name w:val="small"/>
    <w:next w:val="1257"/>
    <w:link w:val="1005"/>
  </w:style>
  <w:style w:type="character" w:styleId="1258">
    <w:name w:val="批注框文本 字符"/>
    <w:next w:val="1258"/>
    <w:link w:val="1005"/>
    <w:uiPriority w:val="99"/>
    <w:qFormat/>
    <w:rPr>
      <w:rFonts w:ascii="Times New Roman" w:hAnsi="Times New Roman" w:eastAsia="宋体" w:cs="Times New Roman"/>
      <w:sz w:val="18"/>
      <w:szCs w:val="18"/>
    </w:rPr>
  </w:style>
  <w:style w:type="character" w:styleId="1259">
    <w:name w:val="ca-1"/>
    <w:next w:val="1259"/>
    <w:link w:val="1005"/>
    <w:qFormat/>
  </w:style>
  <w:style w:type="paragraph" w:styleId="1260">
    <w:name w:val="其他发布日期"/>
    <w:basedOn w:val="1005"/>
    <w:next w:val="1260"/>
    <w:link w:val="1005"/>
    <w:pPr>
      <w:numPr>
        <w:ilvl w:val="0"/>
        <w:numId w:val="1"/>
      </w:numPr>
      <w:jc w:val="left"/>
      <w:widowControl/>
      <w:tabs>
        <w:tab w:val="left" w:pos="780" w:leader="none"/>
      </w:tabs>
      <w:framePr w:w="3997" w:h="471" w:vSpace="181" w:wrap="around" w:vAnchor="page" w:hAnchor="page" w:x="1419" w:y="14097" w:hRule="exact"/>
    </w:pPr>
    <w:rPr>
      <w:sz w:val="28"/>
      <w:szCs w:val="20"/>
    </w:rPr>
  </w:style>
  <w:style w:type="paragraph" w:styleId="1261">
    <w:name w:val="表格1"/>
    <w:basedOn w:val="1005"/>
    <w:next w:val="1261"/>
    <w:link w:val="1005"/>
    <w:qFormat/>
    <w:pPr>
      <w:ind w:firstLine="480"/>
      <w:jc w:val="center"/>
    </w:pPr>
    <w:rPr>
      <w:sz w:val="24"/>
      <w:szCs w:val="20"/>
    </w:rPr>
  </w:style>
  <w:style w:type="paragraph" w:styleId="1262">
    <w:name w:val="正文须知-2级"/>
    <w:basedOn w:val="1005"/>
    <w:next w:val="1262"/>
    <w:link w:val="1005"/>
    <w:qFormat/>
    <w:pPr>
      <w:numPr>
        <w:ilvl w:val="1"/>
        <w:numId w:val="2"/>
      </w:numPr>
      <w:spacing w:line="300" w:lineRule="auto"/>
    </w:pPr>
    <w:rPr>
      <w:rFonts w:ascii="宋体" w:hAnsi="Calibri"/>
      <w:sz w:val="24"/>
      <w:szCs w:val="21"/>
    </w:rPr>
  </w:style>
  <w:style w:type="paragraph" w:styleId="1263">
    <w:name w:val="1名"/>
    <w:basedOn w:val="1005"/>
    <w:next w:val="1263"/>
    <w:link w:val="1005"/>
    <w:qFormat/>
    <w:pPr>
      <w:numPr>
        <w:ilvl w:val="0"/>
        <w:numId w:val="3"/>
      </w:numPr>
      <w:spacing w:before="120"/>
      <w:tabs>
        <w:tab w:val="left" w:pos="360" w:leader="none"/>
      </w:tabs>
    </w:pPr>
    <w:rPr>
      <w:rFonts w:ascii="宋体"/>
      <w:sz w:val="28"/>
      <w:szCs w:val="20"/>
    </w:rPr>
  </w:style>
  <w:style w:type="paragraph" w:styleId="1264">
    <w:name w:val="xl44"/>
    <w:basedOn w:val="1005"/>
    <w:next w:val="1264"/>
    <w:link w:val="10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65">
    <w:name w:val="正文文本样式 加粗"/>
    <w:basedOn w:val="1266"/>
    <w:next w:val="1265"/>
    <w:link w:val="1005"/>
    <w:qFormat/>
    <w:rPr>
      <w:b/>
    </w:rPr>
  </w:style>
  <w:style w:type="paragraph" w:styleId="1266">
    <w:name w:val="正文文本样式"/>
    <w:basedOn w:val="1005"/>
    <w:next w:val="1266"/>
    <w:link w:val="1005"/>
    <w:qFormat/>
    <w:pPr>
      <w:ind w:firstLine="482"/>
      <w:spacing w:line="360" w:lineRule="auto"/>
    </w:pPr>
    <w:rPr>
      <w:rFonts w:cs="宋体"/>
      <w:sz w:val="24"/>
      <w:szCs w:val="20"/>
    </w:rPr>
  </w:style>
  <w:style w:type="paragraph" w:styleId="1267">
    <w:name w:val="Char1"/>
    <w:basedOn w:val="1005"/>
    <w:next w:val="1267"/>
    <w:link w:val="1005"/>
    <w:qFormat/>
    <w:pPr>
      <w:tabs>
        <w:tab w:val="left" w:pos="360" w:leader="none"/>
      </w:tabs>
    </w:pPr>
    <w:rPr>
      <w:sz w:val="24"/>
    </w:rPr>
  </w:style>
  <w:style w:type="paragraph" w:styleId="1268">
    <w:name w:val="项目编号3"/>
    <w:basedOn w:val="1266"/>
    <w:next w:val="1268"/>
    <w:link w:val="1005"/>
    <w:qFormat/>
    <w:pPr>
      <w:numPr>
        <w:ilvl w:val="0"/>
        <w:numId w:val="4"/>
      </w:numPr>
    </w:pPr>
  </w:style>
  <w:style w:type="paragraph" w:styleId="1269">
    <w:name w:val="Char Char Char1 Char"/>
    <w:basedOn w:val="1005"/>
    <w:next w:val="1269"/>
    <w:link w:val="1005"/>
    <w:qFormat/>
    <w:rPr>
      <w:rFonts w:ascii="Tahoma" w:hAnsi="Tahoma"/>
      <w:sz w:val="24"/>
      <w:szCs w:val="20"/>
    </w:rPr>
  </w:style>
  <w:style w:type="paragraph" w:styleId="1270">
    <w:name w:val="Char Char Char1 Char2"/>
    <w:basedOn w:val="1005"/>
    <w:next w:val="1270"/>
    <w:link w:val="1005"/>
    <w:qFormat/>
    <w:rPr>
      <w:rFonts w:ascii="Tahoma" w:hAnsi="Tahoma"/>
      <w:sz w:val="24"/>
      <w:szCs w:val="20"/>
    </w:rPr>
  </w:style>
  <w:style w:type="paragraph" w:styleId="1271">
    <w:name w:val="??"/>
    <w:next w:val="1271"/>
    <w:link w:val="1005"/>
    <w:qFormat/>
    <w:pPr>
      <w:jc w:val="both"/>
      <w:widowControl w:val="off"/>
    </w:pPr>
    <w:rPr>
      <w:sz w:val="21"/>
      <w:lang w:val="en-US" w:eastAsia="en-US" w:bidi="ar-SA"/>
    </w:rPr>
  </w:style>
  <w:style w:type="paragraph" w:styleId="1272">
    <w:name w:val="正文 New"/>
    <w:next w:val="1272"/>
    <w:link w:val="1005"/>
    <w:qFormat/>
    <w:pPr>
      <w:jc w:val="both"/>
      <w:widowControl w:val="off"/>
    </w:pPr>
    <w:rPr>
      <w:sz w:val="21"/>
      <w:szCs w:val="24"/>
      <w:lang w:val="en-US" w:eastAsia="zh-CN" w:bidi="ar-SA"/>
    </w:rPr>
  </w:style>
  <w:style w:type="paragraph" w:styleId="1273">
    <w:name w:val="Char21"/>
    <w:basedOn w:val="1005"/>
    <w:next w:val="1273"/>
    <w:link w:val="1005"/>
    <w:qFormat/>
    <w:rPr>
      <w:rFonts w:ascii="Tahoma" w:hAnsi="Tahoma"/>
      <w:sz w:val="24"/>
      <w:szCs w:val="20"/>
    </w:rPr>
  </w:style>
  <w:style w:type="paragraph" w:styleId="1274">
    <w:name w:val="Char Char Char"/>
    <w:basedOn w:val="1005"/>
    <w:next w:val="1274"/>
    <w:link w:val="1005"/>
    <w:qFormat/>
    <w:rPr>
      <w:rFonts w:ascii="Tahoma" w:hAnsi="Tahoma"/>
      <w:sz w:val="24"/>
      <w:szCs w:val="20"/>
    </w:rPr>
  </w:style>
  <w:style w:type="paragraph" w:styleId="1275">
    <w:name w:val="Char Char Char Char Char Char Char Char Char Char2"/>
    <w:basedOn w:val="1005"/>
    <w:next w:val="1275"/>
    <w:link w:val="1005"/>
    <w:qFormat/>
    <w:rPr>
      <w:rFonts w:ascii="宋体" w:hAnsi="宋体" w:cs="Courier New"/>
      <w:sz w:val="32"/>
      <w:szCs w:val="32"/>
    </w:rPr>
  </w:style>
  <w:style w:type="paragraph" w:styleId="1276">
    <w:name w:val="xl35"/>
    <w:basedOn w:val="1005"/>
    <w:next w:val="1276"/>
    <w:link w:val="10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7">
    <w:name w:val="正文文本1"/>
    <w:basedOn w:val="1005"/>
    <w:next w:val="1005"/>
    <w:link w:val="1005"/>
    <w:qFormat/>
    <w:pPr>
      <w:spacing w:before="120" w:line="22" w:lineRule="atLeast"/>
      <w:tabs>
        <w:tab w:val="left" w:pos="567" w:leader="none"/>
      </w:tabs>
    </w:pPr>
    <w:rPr>
      <w:rFonts w:ascii="宋体" w:hAnsi="宋体"/>
      <w:sz w:val="24"/>
    </w:rPr>
  </w:style>
  <w:style w:type="paragraph" w:styleId="1278">
    <w:name w:val="样式2"/>
    <w:basedOn w:val="1074"/>
    <w:next w:val="1278"/>
    <w:link w:val="1005"/>
    <w:qFormat/>
    <w:pPr>
      <w:jc w:val="center"/>
      <w:spacing w:line="360" w:lineRule="auto"/>
    </w:pPr>
    <w:rPr>
      <w:sz w:val="24"/>
    </w:rPr>
  </w:style>
  <w:style w:type="paragraph" w:styleId="1279">
    <w:name w:val="正文1"/>
    <w:basedOn w:val="1005"/>
    <w:next w:val="1279"/>
    <w:link w:val="1005"/>
    <w:pPr>
      <w:jc w:val="left"/>
      <w:spacing w:line="360" w:lineRule="atLeast"/>
    </w:pPr>
    <w:rPr>
      <w:rFonts w:ascii="宋体"/>
      <w:sz w:val="24"/>
      <w:szCs w:val="20"/>
    </w:rPr>
  </w:style>
  <w:style w:type="paragraph" w:styleId="1280">
    <w:name w:val="font5"/>
    <w:basedOn w:val="1005"/>
    <w:next w:val="1280"/>
    <w:link w:val="1005"/>
    <w:qFormat/>
    <w:pPr>
      <w:jc w:val="left"/>
      <w:spacing w:before="100" w:beforeAutospacing="1" w:after="100" w:afterAutospacing="1"/>
      <w:widowControl/>
    </w:pPr>
    <w:rPr>
      <w:rFonts w:ascii="宋体" w:hAnsi="宋体" w:cs="宋体"/>
      <w:sz w:val="18"/>
      <w:szCs w:val="18"/>
    </w:rPr>
  </w:style>
  <w:style w:type="paragraph" w:styleId="1281">
    <w:name w:val="xl41"/>
    <w:basedOn w:val="1005"/>
    <w:next w:val="1281"/>
    <w:link w:val="100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2">
    <w:name w:val="Char1 Char Char Char1"/>
    <w:basedOn w:val="1005"/>
    <w:next w:val="1282"/>
    <w:link w:val="1005"/>
    <w:qFormat/>
    <w:rPr>
      <w:rFonts w:ascii="Tahoma" w:hAnsi="Tahoma" w:cs="仿宋_GB2312"/>
      <w:sz w:val="24"/>
      <w:szCs w:val="28"/>
    </w:rPr>
  </w:style>
  <w:style w:type="paragraph" w:styleId="1283">
    <w:name w:val="22222222222222"/>
    <w:basedOn w:val="1005"/>
    <w:next w:val="1283"/>
    <w:link w:val="1005"/>
    <w:qFormat/>
    <w:pPr>
      <w:ind w:firstLine="480"/>
      <w:jc w:val="left"/>
      <w:spacing w:line="360" w:lineRule="auto"/>
      <w:widowControl/>
    </w:pPr>
    <w:rPr>
      <w:color w:val="ff0000"/>
      <w:sz w:val="24"/>
      <w:szCs w:val="20"/>
    </w:rPr>
  </w:style>
  <w:style w:type="paragraph" w:styleId="1284">
    <w:name w:val="xl48"/>
    <w:basedOn w:val="1005"/>
    <w:next w:val="1284"/>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5">
    <w:name w:val="Char22"/>
    <w:basedOn w:val="1005"/>
    <w:next w:val="1285"/>
    <w:link w:val="1005"/>
    <w:qFormat/>
    <w:rPr>
      <w:rFonts w:ascii="Tahoma" w:hAnsi="Tahoma"/>
      <w:sz w:val="24"/>
      <w:szCs w:val="20"/>
    </w:rPr>
  </w:style>
  <w:style w:type="paragraph" w:styleId="1286">
    <w:name w:val="List Paragraph1"/>
    <w:basedOn w:val="1005"/>
    <w:next w:val="1286"/>
    <w:link w:val="1005"/>
    <w:qFormat/>
    <w:pPr>
      <w:ind w:firstLine="420"/>
    </w:pPr>
    <w:rPr>
      <w:rFonts w:ascii="Calibri" w:hAnsi="Calibri"/>
      <w:szCs w:val="22"/>
    </w:rPr>
  </w:style>
  <w:style w:type="paragraph" w:styleId="1287">
    <w:name w:val="缺省文本"/>
    <w:basedOn w:val="1005"/>
    <w:next w:val="1287"/>
    <w:link w:val="1005"/>
    <w:qFormat/>
    <w:pPr>
      <w:jc w:val="left"/>
    </w:pPr>
    <w:rPr>
      <w:sz w:val="24"/>
    </w:rPr>
  </w:style>
  <w:style w:type="paragraph" w:styleId="1288">
    <w:name w:val="xl53"/>
    <w:basedOn w:val="1005"/>
    <w:next w:val="1288"/>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9">
    <w:name w:val="图文"/>
    <w:basedOn w:val="1005"/>
    <w:next w:val="1289"/>
    <w:link w:val="1005"/>
    <w:qFormat/>
    <w:pPr>
      <w:spacing w:after="50" w:line="360" w:lineRule="auto"/>
    </w:pPr>
    <w:rPr>
      <w:sz w:val="24"/>
    </w:rPr>
  </w:style>
  <w:style w:type="paragraph" w:styleId="1290">
    <w:name w:val="正文须知-1级"/>
    <w:basedOn w:val="1005"/>
    <w:next w:val="1005"/>
    <w:link w:val="1005"/>
    <w:qFormat/>
    <w:pPr>
      <w:numPr>
        <w:ilvl w:val="0"/>
        <w:numId w:val="2"/>
      </w:numPr>
      <w:spacing w:line="300" w:lineRule="auto"/>
    </w:pPr>
    <w:rPr>
      <w:rFonts w:ascii="宋体" w:hAnsi="Calibri"/>
      <w:sz w:val="24"/>
      <w:szCs w:val="21"/>
    </w:rPr>
  </w:style>
  <w:style w:type="paragraph" w:styleId="1291">
    <w:name w:val="Char Char4"/>
    <w:basedOn w:val="1005"/>
    <w:next w:val="1291"/>
    <w:link w:val="1005"/>
    <w:qFormat/>
    <w:pPr>
      <w:jc w:val="center"/>
      <w:spacing w:line="400" w:lineRule="exact"/>
      <w:widowControl/>
    </w:pPr>
  </w:style>
  <w:style w:type="paragraph" w:styleId="1292">
    <w:name w:val="修订"/>
    <w:next w:val="1292"/>
    <w:link w:val="1005"/>
    <w:uiPriority w:val="99"/>
    <w:unhideWhenUsed/>
    <w:rPr>
      <w:sz w:val="21"/>
      <w:szCs w:val="24"/>
      <w:lang w:val="en-US" w:eastAsia="zh-CN" w:bidi="ar-SA"/>
    </w:rPr>
  </w:style>
  <w:style w:type="paragraph" w:styleId="1293">
    <w:name w:val="xl25"/>
    <w:basedOn w:val="1005"/>
    <w:next w:val="1293"/>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4">
    <w:name w:val="xl24"/>
    <w:basedOn w:val="1005"/>
    <w:next w:val="1294"/>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5">
    <w:name w:val="xl49"/>
    <w:basedOn w:val="1005"/>
    <w:next w:val="1295"/>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6">
    <w:name w:val="图中文字"/>
    <w:basedOn w:val="1005"/>
    <w:next w:val="1296"/>
    <w:link w:val="1005"/>
    <w:qFormat/>
    <w:pPr>
      <w:jc w:val="center"/>
      <w:spacing w:line="0" w:lineRule="atLeast"/>
    </w:pPr>
    <w:rPr>
      <w:sz w:val="24"/>
      <w:szCs w:val="20"/>
    </w:rPr>
  </w:style>
  <w:style w:type="paragraph" w:styleId="1297">
    <w:name w:val="Char3 Char Char Char"/>
    <w:basedOn w:val="1005"/>
    <w:next w:val="1297"/>
    <w:link w:val="1005"/>
    <w:qFormat/>
    <w:rPr>
      <w:rFonts w:ascii="Tahoma" w:hAnsi="Tahoma"/>
      <w:sz w:val="24"/>
      <w:szCs w:val="20"/>
    </w:rPr>
  </w:style>
  <w:style w:type="paragraph" w:styleId="1298">
    <w:name w:val="AA2"/>
    <w:basedOn w:val="1005"/>
    <w:next w:val="1298"/>
    <w:link w:val="1005"/>
    <w:pPr>
      <w:numPr>
        <w:ilvl w:val="0"/>
        <w:numId w:val="5"/>
      </w:numPr>
      <w:spacing w:line="312" w:lineRule="exact"/>
      <w:tabs>
        <w:tab w:val="left" w:pos="500" w:leader="none"/>
        <w:tab w:val="left" w:pos="780" w:leader="none"/>
      </w:tabs>
      <w:outlineLvl w:val="1"/>
    </w:pPr>
    <w:rPr>
      <w:b/>
      <w:bCs/>
      <w:szCs w:val="21"/>
    </w:rPr>
  </w:style>
  <w:style w:type="paragraph" w:styleId="1299">
    <w:name w:val="Char3 Char Char Char1"/>
    <w:basedOn w:val="1005"/>
    <w:next w:val="1299"/>
    <w:link w:val="1005"/>
    <w:qFormat/>
    <w:rPr>
      <w:rFonts w:ascii="Tahoma" w:hAnsi="Tahoma"/>
      <w:sz w:val="24"/>
      <w:szCs w:val="20"/>
    </w:rPr>
  </w:style>
  <w:style w:type="paragraph" w:styleId="1300">
    <w:name w:val="xl28"/>
    <w:basedOn w:val="1005"/>
    <w:next w:val="1300"/>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1">
    <w:name w:val="表身（左）"/>
    <w:next w:val="1301"/>
    <w:link w:val="1005"/>
    <w:pPr>
      <w:spacing w:line="300" w:lineRule="auto"/>
    </w:pPr>
    <w:rPr>
      <w:sz w:val="18"/>
      <w:lang w:val="en-US" w:eastAsia="zh-CN" w:bidi="ar-SA"/>
    </w:rPr>
  </w:style>
  <w:style w:type="paragraph" w:styleId="1302">
    <w:name w:val="纯文本1"/>
    <w:basedOn w:val="1005"/>
    <w:next w:val="1302"/>
    <w:link w:val="1005"/>
    <w:qFormat/>
    <w:rPr>
      <w:rFonts w:ascii="宋体" w:hAnsi="Courier New" w:eastAsia="楷体_GB2312"/>
      <w:sz w:val="26"/>
      <w:szCs w:val="20"/>
    </w:rPr>
  </w:style>
  <w:style w:type="paragraph" w:styleId="1303">
    <w:name w:val="一级条标题"/>
    <w:basedOn w:val="1304"/>
    <w:next w:val="1005"/>
    <w:link w:val="1005"/>
    <w:qFormat/>
    <w:pPr>
      <w:numPr>
        <w:ilvl w:val="1"/>
        <w:numId w:val="6"/>
      </w:numPr>
      <w:ind w:left="0" w:hanging="840"/>
      <w:tabs>
        <w:tab w:val="left" w:pos="360" w:leader="none"/>
        <w:tab w:val="left" w:pos="840" w:leader="none"/>
      </w:tabs>
      <w:outlineLvl w:val="1"/>
    </w:pPr>
  </w:style>
  <w:style w:type="paragraph" w:styleId="1304">
    <w:name w:val="章标题"/>
    <w:next w:val="1005"/>
    <w:link w:val="1005"/>
    <w:qFormat/>
    <w:pPr>
      <w:numPr>
        <w:ilvl w:val="0"/>
        <w:numId w:val="6"/>
      </w:numPr>
      <w:ind w:left="0"/>
      <w:jc w:val="both"/>
      <w:spacing w:before="156" w:after="156" w:line="460" w:lineRule="exact"/>
      <w:outlineLvl w:val="0"/>
    </w:pPr>
    <w:rPr>
      <w:rFonts w:ascii="黑体" w:eastAsia="黑体"/>
      <w:b/>
      <w:sz w:val="28"/>
      <w:lang w:val="en-US" w:eastAsia="zh-CN" w:bidi="ar-SA"/>
    </w:rPr>
  </w:style>
  <w:style w:type="paragraph" w:styleId="1305">
    <w:name w:val="1 Char Char Char Char"/>
    <w:basedOn w:val="1005"/>
    <w:next w:val="1305"/>
    <w:link w:val="1005"/>
    <w:qFormat/>
    <w:rPr>
      <w:rFonts w:ascii="Tahoma" w:hAnsi="Tahoma"/>
      <w:sz w:val="24"/>
      <w:szCs w:val="20"/>
    </w:rPr>
  </w:style>
  <w:style w:type="paragraph" w:styleId="1306">
    <w:name w:val="Char Char1 Char Char Char Char Char Char Char Char"/>
    <w:basedOn w:val="1005"/>
    <w:next w:val="1306"/>
    <w:link w:val="1005"/>
    <w:qFormat/>
    <w:pPr>
      <w:jc w:val="left"/>
      <w:spacing w:after="160" w:line="240" w:lineRule="exact"/>
      <w:widowControl/>
    </w:pPr>
    <w:rPr>
      <w:rFonts w:ascii="Verdana" w:hAnsi="Verdana"/>
      <w:sz w:val="20"/>
      <w:szCs w:val="20"/>
      <w:lang w:eastAsia="en-US"/>
    </w:rPr>
  </w:style>
  <w:style w:type="paragraph" w:styleId="1307">
    <w:name w:val="Char Char Char Char Char Char Char Char Char Char"/>
    <w:basedOn w:val="1005"/>
    <w:next w:val="1307"/>
    <w:link w:val="1005"/>
    <w:qFormat/>
  </w:style>
  <w:style w:type="paragraph" w:styleId="1308">
    <w:name w:val="Char Char1 Char Char Char Char Char Char"/>
    <w:basedOn w:val="1005"/>
    <w:next w:val="1308"/>
    <w:link w:val="1005"/>
    <w:qFormat/>
    <w:pPr>
      <w:jc w:val="left"/>
      <w:spacing w:after="160" w:line="240" w:lineRule="exact"/>
      <w:widowControl/>
    </w:pPr>
    <w:rPr>
      <w:rFonts w:ascii="Verdana" w:hAnsi="Verdana" w:eastAsia="仿宋_GB2312"/>
      <w:sz w:val="24"/>
      <w:szCs w:val="20"/>
      <w:lang w:eastAsia="en-US"/>
    </w:rPr>
  </w:style>
  <w:style w:type="paragraph" w:styleId="1309">
    <w:name w:val="xl33"/>
    <w:basedOn w:val="1005"/>
    <w:next w:val="1309"/>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0">
    <w:name w:val="Char Char Char1 Char1"/>
    <w:basedOn w:val="1005"/>
    <w:next w:val="1310"/>
    <w:link w:val="1005"/>
    <w:qFormat/>
    <w:rPr>
      <w:rFonts w:ascii="Tahoma" w:hAnsi="Tahoma"/>
      <w:sz w:val="24"/>
      <w:szCs w:val="20"/>
    </w:rPr>
  </w:style>
  <w:style w:type="paragraph" w:styleId="1311">
    <w:name w:val="表项"/>
    <w:next w:val="1005"/>
    <w:link w:val="1005"/>
    <w:qFormat/>
    <w:pPr>
      <w:jc w:val="center"/>
      <w:keepNext/>
      <w:spacing w:line="300" w:lineRule="auto"/>
    </w:pPr>
    <w:rPr>
      <w:rFonts w:ascii="Arial" w:hAnsi="Arial" w:eastAsia="黑体"/>
      <w:sz w:val="18"/>
      <w:lang w:val="en-US" w:eastAsia="zh-CN" w:bidi="ar-SA"/>
    </w:rPr>
  </w:style>
  <w:style w:type="paragraph" w:styleId="1312">
    <w:name w:val="Char2 Char Char Char Char Char Char"/>
    <w:basedOn w:val="1005"/>
    <w:next w:val="1312"/>
    <w:link w:val="1005"/>
    <w:qFormat/>
    <w:pPr>
      <w:jc w:val="center"/>
      <w:spacing w:line="400" w:lineRule="exact"/>
      <w:widowControl/>
    </w:pPr>
  </w:style>
  <w:style w:type="paragraph" w:styleId="1313">
    <w:name w:val="xl23"/>
    <w:basedOn w:val="1005"/>
    <w:next w:val="1313"/>
    <w:link w:val="1005"/>
    <w:qFormat/>
    <w:pPr>
      <w:spacing w:before="100" w:beforeAutospacing="1" w:after="100" w:afterAutospacing="1" w:line="360" w:lineRule="auto"/>
      <w:widowControl/>
    </w:pPr>
    <w:rPr>
      <w:sz w:val="24"/>
      <w:szCs w:val="20"/>
    </w:rPr>
  </w:style>
  <w:style w:type="paragraph" w:styleId="1314">
    <w:name w:val="列出段落2"/>
    <w:basedOn w:val="1005"/>
    <w:next w:val="1314"/>
    <w:link w:val="1005"/>
    <w:qFormat/>
    <w:pPr>
      <w:ind w:firstLine="420"/>
    </w:pPr>
    <w:rPr>
      <w:rFonts w:ascii="Calibri" w:hAnsi="Calibri"/>
      <w:szCs w:val="22"/>
    </w:rPr>
  </w:style>
  <w:style w:type="paragraph" w:styleId="1315">
    <w:name w:val="text"/>
    <w:basedOn w:val="1005"/>
    <w:next w:val="1315"/>
    <w:link w:val="1005"/>
    <w:qFormat/>
    <w:pPr>
      <w:ind w:left="1049"/>
      <w:spacing w:before="240"/>
      <w:widowControl/>
      <w:tabs>
        <w:tab w:val="left" w:pos="1050" w:leader="none"/>
      </w:tabs>
    </w:pPr>
    <w:rPr>
      <w:sz w:val="24"/>
      <w:szCs w:val="20"/>
    </w:rPr>
  </w:style>
  <w:style w:type="paragraph" w:styleId="1316">
    <w:name w:val="Table Paragraph"/>
    <w:basedOn w:val="1005"/>
    <w:next w:val="1316"/>
    <w:link w:val="1005"/>
    <w:uiPriority w:val="1"/>
    <w:qFormat/>
    <w:pPr>
      <w:jc w:val="left"/>
    </w:pPr>
    <w:rPr>
      <w:rFonts w:ascii="宋体" w:hAnsi="宋体" w:cs="宋体"/>
      <w:sz w:val="22"/>
      <w:szCs w:val="22"/>
      <w:lang w:eastAsia="en-US"/>
    </w:rPr>
  </w:style>
  <w:style w:type="paragraph" w:styleId="1317">
    <w:name w:val="xl50"/>
    <w:basedOn w:val="1005"/>
    <w:next w:val="1317"/>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8">
    <w:name w:val="Char Char Char Char"/>
    <w:basedOn w:val="1031"/>
    <w:next w:val="1318"/>
    <w:link w:val="1005"/>
    <w:pPr>
      <w:spacing w:line="360" w:lineRule="auto"/>
    </w:pPr>
    <w:rPr>
      <w:rFonts w:ascii="Tahoma" w:hAnsi="Tahoma"/>
      <w:sz w:val="24"/>
    </w:rPr>
  </w:style>
  <w:style w:type="paragraph" w:styleId="1319">
    <w:name w:val="字元 字元1"/>
    <w:basedOn w:val="1005"/>
    <w:next w:val="1319"/>
    <w:link w:val="1005"/>
    <w:qFormat/>
    <w:rPr>
      <w:rFonts w:ascii="Tahoma" w:hAnsi="Tahoma"/>
      <w:sz w:val="24"/>
      <w:szCs w:val="20"/>
    </w:rPr>
  </w:style>
  <w:style w:type="paragraph" w:styleId="1320">
    <w:name w:val="xl42"/>
    <w:basedOn w:val="1005"/>
    <w:next w:val="1320"/>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21">
    <w:name w:val="Revision"/>
    <w:next w:val="1321"/>
    <w:link w:val="1005"/>
    <w:qFormat/>
    <w:rPr>
      <w:sz w:val="21"/>
      <w:szCs w:val="24"/>
      <w:lang w:val="en-US" w:eastAsia="zh-CN" w:bidi="ar-SA"/>
    </w:rPr>
  </w:style>
  <w:style w:type="paragraph" w:styleId="1322">
    <w:name w:val="正文列项_字母"/>
    <w:basedOn w:val="1005"/>
    <w:next w:val="1322"/>
    <w:link w:val="1005"/>
    <w:qFormat/>
    <w:pPr>
      <w:numPr>
        <w:ilvl w:val="6"/>
        <w:numId w:val="6"/>
      </w:numPr>
      <w:ind w:left="480" w:hanging="180"/>
      <w:spacing w:line="460" w:lineRule="exact"/>
      <w:tabs>
        <w:tab w:val="clear" w:pos="635" w:leader="none"/>
      </w:tabs>
      <w:outlineLvl w:val="6"/>
    </w:pPr>
    <w:rPr>
      <w:rFonts w:ascii="宋体"/>
      <w:sz w:val="28"/>
      <w:szCs w:val="20"/>
    </w:rPr>
  </w:style>
  <w:style w:type="paragraph" w:styleId="1323">
    <w:name w:val="(1)"/>
    <w:basedOn w:val="1005"/>
    <w:next w:val="1323"/>
    <w:link w:val="1005"/>
    <w:pPr>
      <w:spacing w:line="400" w:lineRule="exact"/>
    </w:pPr>
    <w:rPr>
      <w:rFonts w:ascii="楷体_GB2312" w:hAnsi="Arial" w:eastAsia="楷体_GB2312"/>
      <w:sz w:val="24"/>
    </w:rPr>
  </w:style>
  <w:style w:type="paragraph" w:styleId="1324">
    <w:name w:val="项目符号1"/>
    <w:basedOn w:val="1266"/>
    <w:next w:val="1324"/>
    <w:link w:val="1005"/>
    <w:qFormat/>
    <w:pPr>
      <w:ind w:left="-25" w:firstLine="0"/>
    </w:pPr>
  </w:style>
  <w:style w:type="paragraph" w:styleId="1325">
    <w:name w:val="内文正文"/>
    <w:next w:val="1325"/>
    <w:link w:val="1005"/>
    <w:qFormat/>
    <w:pPr>
      <w:ind w:firstLine="200"/>
      <w:jc w:val="both"/>
      <w:spacing w:line="400" w:lineRule="exact"/>
    </w:pPr>
    <w:rPr>
      <w:rFonts w:ascii="宋体" w:hAnsi="???|CS?o｡ﾀ?"/>
      <w:sz w:val="21"/>
      <w:szCs w:val="28"/>
      <w:lang w:val="en-US" w:eastAsia="zh-CN" w:bidi="ar-SA"/>
    </w:rPr>
  </w:style>
  <w:style w:type="paragraph" w:styleId="1326">
    <w:name w:val="Char3 Char Char Char2"/>
    <w:basedOn w:val="1005"/>
    <w:next w:val="1326"/>
    <w:link w:val="1005"/>
    <w:qFormat/>
    <w:rPr>
      <w:rFonts w:ascii="Tahoma" w:hAnsi="Tahoma"/>
      <w:sz w:val="24"/>
      <w:szCs w:val="20"/>
    </w:rPr>
  </w:style>
  <w:style w:type="paragraph" w:styleId="1327">
    <w:name w:val="xl52"/>
    <w:basedOn w:val="1005"/>
    <w:next w:val="1327"/>
    <w:link w:val="10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28">
    <w:name w:val="xl46"/>
    <w:basedOn w:val="1005"/>
    <w:next w:val="1328"/>
    <w:link w:val="100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9">
    <w:name w:val="Char2"/>
    <w:basedOn w:val="1005"/>
    <w:next w:val="1329"/>
    <w:link w:val="1005"/>
    <w:qFormat/>
    <w:rPr>
      <w:rFonts w:ascii="Tahoma" w:hAnsi="Tahoma"/>
      <w:sz w:val="24"/>
      <w:szCs w:val="20"/>
    </w:rPr>
  </w:style>
  <w:style w:type="paragraph" w:styleId="1330">
    <w:name w:val="Char Char1 Char Char Char Char Char Char1"/>
    <w:basedOn w:val="1005"/>
    <w:next w:val="1330"/>
    <w:link w:val="1005"/>
    <w:qFormat/>
    <w:pPr>
      <w:jc w:val="left"/>
      <w:spacing w:after="160" w:line="240" w:lineRule="exact"/>
      <w:widowControl/>
    </w:pPr>
    <w:rPr>
      <w:rFonts w:ascii="Verdana" w:hAnsi="Verdana" w:eastAsia="仿宋_GB2312"/>
      <w:sz w:val="24"/>
      <w:szCs w:val="20"/>
      <w:lang w:eastAsia="en-US"/>
    </w:rPr>
  </w:style>
  <w:style w:type="paragraph" w:styleId="1331">
    <w:name w:val="xl34"/>
    <w:basedOn w:val="1005"/>
    <w:next w:val="1331"/>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32">
    <w:name w:val="Char Char Char Char Char Char Char Char Char Char Char Char Char Char Char Char"/>
    <w:basedOn w:val="1005"/>
    <w:next w:val="1332"/>
    <w:link w:val="1005"/>
    <w:qFormat/>
    <w:pPr>
      <w:jc w:val="center"/>
      <w:spacing w:after="160" w:line="240" w:lineRule="exact"/>
      <w:widowControl/>
    </w:pPr>
    <w:rPr>
      <w:rFonts w:ascii="宋体" w:hAnsi="宋体"/>
      <w:b/>
      <w:sz w:val="30"/>
      <w:szCs w:val="30"/>
      <w:lang w:eastAsia="en-US"/>
    </w:rPr>
  </w:style>
  <w:style w:type="paragraph" w:styleId="1333">
    <w:name w:val="Char2 Char Char Char Char Char Char1"/>
    <w:basedOn w:val="1005"/>
    <w:next w:val="1333"/>
    <w:link w:val="1005"/>
    <w:qFormat/>
    <w:pPr>
      <w:jc w:val="center"/>
      <w:spacing w:line="400" w:lineRule="exact"/>
      <w:widowControl/>
    </w:pPr>
  </w:style>
  <w:style w:type="paragraph" w:styleId="1334">
    <w:name w:val="Char Char Char Char Char Char Char Char Char Char1"/>
    <w:basedOn w:val="1005"/>
    <w:next w:val="1334"/>
    <w:link w:val="1005"/>
    <w:qFormat/>
    <w:rPr>
      <w:rFonts w:ascii="宋体" w:hAnsi="宋体" w:cs="Courier New"/>
      <w:sz w:val="32"/>
      <w:szCs w:val="32"/>
    </w:rPr>
  </w:style>
  <w:style w:type="paragraph" w:styleId="1335">
    <w:name w:val="正文须知-3级"/>
    <w:basedOn w:val="1005"/>
    <w:next w:val="1335"/>
    <w:link w:val="1005"/>
    <w:qFormat/>
    <w:pPr>
      <w:numPr>
        <w:ilvl w:val="2"/>
        <w:numId w:val="2"/>
      </w:numPr>
      <w:ind w:hanging="355"/>
      <w:spacing w:line="300" w:lineRule="auto"/>
    </w:pPr>
    <w:rPr>
      <w:rFonts w:ascii="宋体" w:hAnsi="Calibri"/>
      <w:sz w:val="24"/>
      <w:szCs w:val="21"/>
    </w:rPr>
  </w:style>
  <w:style w:type="paragraph" w:styleId="1336">
    <w:name w:val="Char Char Char2"/>
    <w:basedOn w:val="1005"/>
    <w:next w:val="1336"/>
    <w:link w:val="1005"/>
    <w:qFormat/>
    <w:rPr>
      <w:rFonts w:ascii="Tahoma" w:hAnsi="Tahoma"/>
      <w:sz w:val="24"/>
      <w:szCs w:val="20"/>
    </w:rPr>
  </w:style>
  <w:style w:type="paragraph" w:styleId="1337">
    <w:name w:val="xl36"/>
    <w:basedOn w:val="1005"/>
    <w:next w:val="1337"/>
    <w:link w:val="100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8">
    <w:name w:val="表内文字"/>
    <w:basedOn w:val="1005"/>
    <w:next w:val="1338"/>
    <w:link w:val="1005"/>
    <w:pPr>
      <w:spacing w:line="360" w:lineRule="auto"/>
    </w:pPr>
    <w:rPr>
      <w:rFonts w:ascii="宋体" w:hAnsi="宋体"/>
      <w:bCs/>
      <w:sz w:val="24"/>
    </w:rPr>
  </w:style>
  <w:style w:type="paragraph" w:styleId="1339">
    <w:name w:val="Char Char Char Char Char Char Char1"/>
    <w:basedOn w:val="1005"/>
    <w:next w:val="1339"/>
    <w:link w:val="1005"/>
    <w:qFormat/>
    <w:pPr>
      <w:ind w:firstLine="200"/>
      <w:spacing w:line="360" w:lineRule="auto"/>
    </w:pPr>
    <w:rPr>
      <w:rFonts w:eastAsia="仿宋_GB2312"/>
      <w:sz w:val="24"/>
    </w:rPr>
  </w:style>
  <w:style w:type="paragraph" w:styleId="1340">
    <w:name w:val="列出段落1"/>
    <w:basedOn w:val="1005"/>
    <w:next w:val="1340"/>
    <w:link w:val="1005"/>
    <w:qFormat/>
    <w:pPr>
      <w:ind w:firstLine="420"/>
    </w:pPr>
    <w:rPr>
      <w:rFonts w:ascii="Calibri" w:hAnsi="Calibri"/>
      <w:szCs w:val="22"/>
    </w:rPr>
  </w:style>
  <w:style w:type="paragraph" w:styleId="1341">
    <w:name w:val="9-表目录"/>
    <w:basedOn w:val="1005"/>
    <w:next w:val="1341"/>
    <w:link w:val="1005"/>
    <w:uiPriority w:val="99"/>
    <w:qFormat/>
    <w:pPr>
      <w:ind w:firstLine="480"/>
      <w:jc w:val="center"/>
      <w:spacing w:line="400" w:lineRule="exact"/>
    </w:pPr>
    <w:rPr>
      <w:rFonts w:ascii="Calibri" w:hAnsi="Calibri" w:cs="宋体"/>
      <w:sz w:val="24"/>
      <w:szCs w:val="20"/>
    </w:rPr>
  </w:style>
  <w:style w:type="paragraph" w:styleId="1342">
    <w:name w:val="Default"/>
    <w:next w:val="1342"/>
    <w:link w:val="1005"/>
    <w:qFormat/>
    <w:pPr>
      <w:widowControl w:val="off"/>
    </w:pPr>
    <w:rPr>
      <w:rFonts w:ascii="Symbol" w:hAnsi="Symbol" w:cs="Symbol"/>
      <w:color w:val="000000"/>
      <w:sz w:val="24"/>
      <w:szCs w:val="24"/>
      <w:lang w:val="en-US" w:eastAsia="zh-CN" w:bidi="ar-SA"/>
    </w:rPr>
  </w:style>
  <w:style w:type="paragraph" w:styleId="1343">
    <w:name w:val="正文 + 楷体_GB2312"/>
    <w:basedOn w:val="1005"/>
    <w:next w:val="1343"/>
    <w:link w:val="1005"/>
    <w:qFormat/>
    <w:pPr>
      <w:jc w:val="left"/>
      <w:widowControl/>
    </w:pPr>
    <w:rPr>
      <w:rFonts w:ascii="楷体_GB2312" w:eastAsia="楷体_GB2312" w:cs="Arial"/>
      <w:sz w:val="24"/>
    </w:rPr>
  </w:style>
  <w:style w:type="paragraph" w:styleId="1344">
    <w:name w:val="正文列项_数字"/>
    <w:basedOn w:val="1005"/>
    <w:next w:val="1344"/>
    <w:link w:val="1005"/>
    <w:qFormat/>
    <w:pPr>
      <w:numPr>
        <w:ilvl w:val="7"/>
        <w:numId w:val="6"/>
      </w:numPr>
      <w:ind w:left="680" w:hanging="150"/>
      <w:spacing w:line="460" w:lineRule="exact"/>
      <w:tabs>
        <w:tab w:val="clear" w:pos="860" w:leader="none"/>
      </w:tabs>
      <w:outlineLvl w:val="7"/>
    </w:pPr>
    <w:rPr>
      <w:rFonts w:ascii="宋体"/>
      <w:sz w:val="28"/>
      <w:szCs w:val="20"/>
    </w:rPr>
  </w:style>
  <w:style w:type="paragraph" w:styleId="1345">
    <w:name w:val="_Style 160"/>
    <w:next w:val="1345"/>
    <w:link w:val="1005"/>
    <w:qFormat/>
    <w:rPr>
      <w:sz w:val="21"/>
      <w:szCs w:val="24"/>
      <w:lang w:val="en-US" w:eastAsia="zh-CN" w:bidi="ar-SA"/>
    </w:rPr>
  </w:style>
  <w:style w:type="paragraph" w:styleId="1346">
    <w:name w:val="默认段落字体 Para Char Char Char Char"/>
    <w:basedOn w:val="1005"/>
    <w:next w:val="1346"/>
    <w:link w:val="1005"/>
    <w:qFormat/>
    <w:rPr>
      <w:rFonts w:ascii="Arial" w:hAnsi="Arial" w:cs="Arial"/>
      <w:szCs w:val="21"/>
    </w:rPr>
  </w:style>
  <w:style w:type="paragraph" w:styleId="1347">
    <w:name w:val="样式 宋体 五号 行距: 单倍行距"/>
    <w:basedOn w:val="1005"/>
    <w:next w:val="1347"/>
    <w:link w:val="1005"/>
    <w:qFormat/>
    <w:pPr>
      <w:jc w:val="left"/>
    </w:pPr>
    <w:rPr>
      <w:rFonts w:ascii="宋体" w:hAnsi="宋体"/>
      <w:szCs w:val="20"/>
    </w:rPr>
  </w:style>
  <w:style w:type="paragraph" w:styleId="1348">
    <w:name w:val="font8"/>
    <w:basedOn w:val="1005"/>
    <w:next w:val="1348"/>
    <w:link w:val="1005"/>
    <w:qFormat/>
    <w:pPr>
      <w:jc w:val="left"/>
      <w:spacing w:before="100" w:beforeAutospacing="1" w:after="100" w:afterAutospacing="1"/>
      <w:widowControl/>
    </w:pPr>
    <w:rPr>
      <w:sz w:val="36"/>
      <w:szCs w:val="36"/>
    </w:rPr>
  </w:style>
  <w:style w:type="paragraph" w:styleId="1349">
    <w:name w:val="表格文字"/>
    <w:basedOn w:val="1039"/>
    <w:next w:val="1349"/>
    <w:link w:val="1005"/>
    <w:qFormat/>
    <w:pPr>
      <w:ind w:firstLine="0"/>
      <w:spacing w:before="20" w:after="20" w:line="240" w:lineRule="auto"/>
    </w:pPr>
    <w:rPr>
      <w:rFonts w:ascii="Century Gothic" w:hAnsi="Century Gothic"/>
      <w:sz w:val="20"/>
      <w:szCs w:val="20"/>
    </w:rPr>
  </w:style>
  <w:style w:type="paragraph" w:styleId="1350">
    <w:name w:val="正文 + 宋体"/>
    <w:basedOn w:val="1005"/>
    <w:next w:val="1350"/>
    <w:link w:val="1005"/>
    <w:qFormat/>
    <w:pPr>
      <w:ind w:left="360" w:hanging="360"/>
      <w:jc w:val="left"/>
      <w:widowControl/>
    </w:pPr>
    <w:rPr>
      <w:rFonts w:ascii="宋体" w:hAnsi="宋体" w:cs="宋体"/>
      <w:b/>
      <w:bCs/>
      <w:color w:val="000000"/>
      <w:sz w:val="18"/>
      <w:szCs w:val="18"/>
    </w:rPr>
  </w:style>
  <w:style w:type="paragraph" w:styleId="1351">
    <w:name w:val="xl51"/>
    <w:basedOn w:val="1005"/>
    <w:next w:val="1351"/>
    <w:link w:val="10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2">
    <w:name w:val="xl26"/>
    <w:basedOn w:val="1005"/>
    <w:next w:val="1352"/>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53">
    <w:name w:val="Í¼±íÕýÎÄ"/>
    <w:basedOn w:val="1005"/>
    <w:next w:val="1020"/>
    <w:link w:val="1005"/>
    <w:qFormat/>
    <w:pPr>
      <w:ind w:firstLine="420"/>
    </w:pPr>
    <w:rPr>
      <w:sz w:val="24"/>
      <w:szCs w:val="20"/>
    </w:rPr>
  </w:style>
  <w:style w:type="paragraph" w:styleId="1354">
    <w:name w:val="Char Char Char Char Char Char Char Char Char Char Char Char Char Char Char Char1"/>
    <w:basedOn w:val="1005"/>
    <w:next w:val="1354"/>
    <w:link w:val="1005"/>
    <w:qFormat/>
    <w:pPr>
      <w:jc w:val="center"/>
      <w:spacing w:after="160" w:line="240" w:lineRule="exact"/>
      <w:widowControl/>
    </w:pPr>
    <w:rPr>
      <w:rFonts w:ascii="宋体" w:hAnsi="宋体"/>
      <w:b/>
      <w:sz w:val="30"/>
      <w:szCs w:val="30"/>
      <w:lang w:eastAsia="en-US"/>
    </w:rPr>
  </w:style>
  <w:style w:type="paragraph" w:styleId="1355">
    <w:name w:val="font6"/>
    <w:basedOn w:val="1005"/>
    <w:next w:val="1355"/>
    <w:link w:val="1005"/>
    <w:qFormat/>
    <w:pPr>
      <w:jc w:val="left"/>
      <w:spacing w:before="100" w:beforeAutospacing="1" w:after="100" w:afterAutospacing="1"/>
      <w:widowControl/>
    </w:pPr>
    <w:rPr>
      <w:rFonts w:ascii="宋体" w:hAnsi="宋体" w:cs="宋体"/>
      <w:sz w:val="20"/>
      <w:szCs w:val="20"/>
    </w:rPr>
  </w:style>
  <w:style w:type="paragraph" w:styleId="1356">
    <w:name w:val="项目编号2"/>
    <w:basedOn w:val="1357"/>
    <w:next w:val="1356"/>
    <w:link w:val="1005"/>
    <w:qFormat/>
    <w:pPr>
      <w:numPr>
        <w:ilvl w:val="0"/>
        <w:numId w:val="8"/>
      </w:numPr>
    </w:pPr>
  </w:style>
  <w:style w:type="paragraph" w:styleId="1357">
    <w:name w:val="项目编号1"/>
    <w:basedOn w:val="1005"/>
    <w:next w:val="1357"/>
    <w:link w:val="1005"/>
    <w:qFormat/>
    <w:pPr>
      <w:numPr>
        <w:ilvl w:val="0"/>
        <w:numId w:val="7"/>
      </w:numPr>
      <w:spacing w:before="100" w:beforeAutospacing="1" w:after="100" w:afterAutospacing="1" w:line="360" w:lineRule="auto"/>
    </w:pPr>
    <w:rPr>
      <w:sz w:val="24"/>
    </w:rPr>
  </w:style>
  <w:style w:type="paragraph" w:styleId="1358">
    <w:name w:val="正文文本缩进2"/>
    <w:basedOn w:val="1005"/>
    <w:next w:val="1358"/>
    <w:link w:val="1005"/>
    <w:qFormat/>
    <w:pPr>
      <w:ind w:firstLine="480"/>
      <w:spacing w:line="480" w:lineRule="exact"/>
    </w:pPr>
    <w:rPr>
      <w:rFonts w:ascii="宋体" w:hAnsi="宋体"/>
      <w:sz w:val="24"/>
      <w:lang w:val="zh-CN" w:eastAsia="zh-CN"/>
    </w:rPr>
  </w:style>
  <w:style w:type="paragraph" w:styleId="1359">
    <w:name w:val="xl43"/>
    <w:basedOn w:val="1005"/>
    <w:next w:val="1359"/>
    <w:link w:val="10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60">
    <w:name w:val="default"/>
    <w:basedOn w:val="1005"/>
    <w:next w:val="1360"/>
    <w:link w:val="1005"/>
    <w:qFormat/>
    <w:pPr>
      <w:jc w:val="left"/>
      <w:spacing w:before="100" w:beforeAutospacing="1" w:after="100" w:afterAutospacing="1"/>
      <w:widowControl/>
    </w:pPr>
    <w:rPr>
      <w:rFonts w:ascii="宋体" w:hAnsi="宋体" w:cs="宋体"/>
      <w:sz w:val="24"/>
    </w:rPr>
  </w:style>
  <w:style w:type="paragraph" w:styleId="1361">
    <w:name w:val="Char Char41"/>
    <w:basedOn w:val="1005"/>
    <w:next w:val="1361"/>
    <w:link w:val="1005"/>
    <w:qFormat/>
    <w:pPr>
      <w:jc w:val="center"/>
      <w:spacing w:line="400" w:lineRule="exact"/>
      <w:widowControl/>
    </w:pPr>
  </w:style>
  <w:style w:type="paragraph" w:styleId="1362">
    <w:name w:val="Char3"/>
    <w:basedOn w:val="1005"/>
    <w:next w:val="1362"/>
    <w:link w:val="1005"/>
    <w:qFormat/>
    <w:pPr>
      <w:tabs>
        <w:tab w:val="left" w:pos="360" w:leader="none"/>
      </w:tabs>
    </w:pPr>
    <w:rPr>
      <w:sz w:val="24"/>
    </w:rPr>
  </w:style>
  <w:style w:type="paragraph" w:styleId="1363">
    <w:name w:val="xl45"/>
    <w:basedOn w:val="1005"/>
    <w:next w:val="1363"/>
    <w:link w:val="10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64">
    <w:name w:val="xl29"/>
    <w:basedOn w:val="1005"/>
    <w:next w:val="1364"/>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65">
    <w:name w:val="_Style 147"/>
    <w:next w:val="1005"/>
    <w:link w:val="1005"/>
    <w:uiPriority w:val="99"/>
    <w:unhideWhenUsed/>
    <w:qFormat/>
    <w:pPr>
      <w:jc w:val="both"/>
      <w:widowControl w:val="off"/>
    </w:pPr>
    <w:rPr>
      <w:sz w:val="21"/>
      <w:szCs w:val="24"/>
      <w:lang w:val="en-US" w:eastAsia="zh-CN" w:bidi="ar-SA"/>
    </w:rPr>
  </w:style>
  <w:style w:type="paragraph" w:styleId="1366">
    <w:name w:val="五级条标题"/>
    <w:basedOn w:val="1367"/>
    <w:next w:val="1005"/>
    <w:link w:val="1005"/>
    <w:qFormat/>
    <w:pPr>
      <w:numPr>
        <w:ilvl w:val="5"/>
        <w:numId w:val="6"/>
      </w:numPr>
      <w:ind w:left="0" w:hanging="840"/>
      <w:tabs>
        <w:tab w:val="left" w:pos="360" w:leader="none"/>
        <w:tab w:val="left" w:pos="840" w:leader="none"/>
      </w:tabs>
      <w:outlineLvl w:val="5"/>
    </w:pPr>
  </w:style>
  <w:style w:type="paragraph" w:styleId="1367">
    <w:name w:val="四级条标题"/>
    <w:basedOn w:val="1368"/>
    <w:next w:val="1005"/>
    <w:link w:val="1005"/>
    <w:qFormat/>
    <w:pPr>
      <w:numPr>
        <w:ilvl w:val="4"/>
        <w:numId w:val="6"/>
      </w:numPr>
      <w:ind w:left="0" w:hanging="840"/>
      <w:tabs>
        <w:tab w:val="left" w:pos="360" w:leader="none"/>
        <w:tab w:val="left" w:pos="840" w:leader="none"/>
      </w:tabs>
      <w:outlineLvl w:val="4"/>
    </w:pPr>
  </w:style>
  <w:style w:type="paragraph" w:styleId="1368">
    <w:name w:val="三级条标题"/>
    <w:basedOn w:val="1369"/>
    <w:next w:val="1005"/>
    <w:link w:val="1005"/>
    <w:qFormat/>
    <w:pPr>
      <w:numPr>
        <w:ilvl w:val="3"/>
        <w:numId w:val="6"/>
      </w:numPr>
      <w:ind w:left="0" w:hanging="840"/>
      <w:tabs>
        <w:tab w:val="left" w:pos="360" w:leader="none"/>
        <w:tab w:val="left" w:pos="840" w:leader="none"/>
      </w:tabs>
      <w:outlineLvl w:val="3"/>
    </w:pPr>
  </w:style>
  <w:style w:type="paragraph" w:styleId="1369">
    <w:name w:val="二级条标题"/>
    <w:basedOn w:val="1303"/>
    <w:next w:val="1005"/>
    <w:link w:val="1005"/>
    <w:qFormat/>
    <w:pPr>
      <w:numPr>
        <w:ilvl w:val="0"/>
        <w:numId w:val="0"/>
      </w:numPr>
      <w:ind w:hanging="840"/>
      <w:tabs>
        <w:tab w:val="left" w:pos="360" w:leader="none"/>
        <w:tab w:val="left" w:pos="840" w:leader="none"/>
      </w:tabs>
      <w:outlineLvl w:val="2"/>
    </w:pPr>
    <w:rPr>
      <w:rFonts w:ascii="宋体" w:eastAsia="宋体"/>
      <w:b w:val="0"/>
    </w:rPr>
  </w:style>
  <w:style w:type="paragraph" w:styleId="1370">
    <w:name w:val="字元 字元2"/>
    <w:basedOn w:val="1005"/>
    <w:next w:val="1370"/>
    <w:link w:val="1005"/>
    <w:qFormat/>
    <w:rPr>
      <w:rFonts w:ascii="Tahoma" w:hAnsi="Tahoma"/>
      <w:sz w:val="24"/>
      <w:szCs w:val="20"/>
    </w:rPr>
  </w:style>
  <w:style w:type="paragraph" w:styleId="1371">
    <w:name w:val="文档正文"/>
    <w:basedOn w:val="1005"/>
    <w:next w:val="1371"/>
    <w:link w:val="1005"/>
    <w:qFormat/>
    <w:pPr>
      <w:spacing w:before="120" w:after="120" w:line="180" w:lineRule="auto"/>
    </w:pPr>
    <w:rPr>
      <w:rFonts w:ascii="Arial" w:hAnsi="Arial"/>
      <w:szCs w:val="20"/>
    </w:rPr>
  </w:style>
  <w:style w:type="paragraph" w:styleId="1372">
    <w:name w:val="xl30"/>
    <w:basedOn w:val="1005"/>
    <w:next w:val="1372"/>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3">
    <w:name w:val="修订11"/>
    <w:next w:val="1373"/>
    <w:link w:val="1005"/>
    <w:uiPriority w:val="99"/>
    <w:qFormat/>
    <w:rPr>
      <w:sz w:val="21"/>
      <w:szCs w:val="24"/>
      <w:lang w:val="en-US" w:eastAsia="zh-CN" w:bidi="ar-SA"/>
    </w:rPr>
  </w:style>
  <w:style w:type="paragraph" w:styleId="1374">
    <w:name w:val="xl37"/>
    <w:basedOn w:val="1005"/>
    <w:next w:val="1374"/>
    <w:link w:val="10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5">
    <w:name w:val="字元 字元"/>
    <w:basedOn w:val="1005"/>
    <w:next w:val="1375"/>
    <w:link w:val="1005"/>
    <w:qFormat/>
    <w:rPr>
      <w:rFonts w:ascii="Tahoma" w:hAnsi="Tahoma"/>
      <w:sz w:val="24"/>
      <w:szCs w:val="20"/>
    </w:rPr>
  </w:style>
  <w:style w:type="paragraph" w:styleId="1376">
    <w:name w:val="Char Char Char Char Char Char Char"/>
    <w:basedOn w:val="1005"/>
    <w:next w:val="1376"/>
    <w:link w:val="1005"/>
    <w:qFormat/>
    <w:pPr>
      <w:ind w:firstLine="200"/>
      <w:spacing w:line="360" w:lineRule="auto"/>
    </w:pPr>
    <w:rPr>
      <w:rFonts w:eastAsia="仿宋_GB2312"/>
      <w:sz w:val="24"/>
    </w:rPr>
  </w:style>
  <w:style w:type="paragraph" w:styleId="1377">
    <w:name w:val="Char"/>
    <w:basedOn w:val="1005"/>
    <w:next w:val="1377"/>
    <w:link w:val="1005"/>
    <w:qFormat/>
    <w:pPr>
      <w:tabs>
        <w:tab w:val="left" w:pos="360" w:leader="none"/>
      </w:tabs>
    </w:pPr>
    <w:rPr>
      <w:sz w:val="24"/>
    </w:rPr>
  </w:style>
  <w:style w:type="paragraph" w:styleId="1378">
    <w:name w:val="xl31"/>
    <w:basedOn w:val="1005"/>
    <w:next w:val="1378"/>
    <w:link w:val="10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9">
    <w:name w:val="附言"/>
    <w:basedOn w:val="1005"/>
    <w:next w:val="1005"/>
    <w:link w:val="1005"/>
    <w:pPr>
      <w:jc w:val="center"/>
    </w:pPr>
    <w:rPr>
      <w:rFonts w:ascii="宋体" w:hAnsi="宋体"/>
    </w:rPr>
  </w:style>
  <w:style w:type="paragraph" w:styleId="1380">
    <w:name w:val="图例"/>
    <w:basedOn w:val="1005"/>
    <w:next w:val="1380"/>
    <w:link w:val="1005"/>
    <w:qFormat/>
    <w:pPr>
      <w:jc w:val="center"/>
      <w:spacing w:before="120" w:after="120" w:line="360" w:lineRule="auto"/>
    </w:pPr>
    <w:rPr>
      <w:rFonts w:eastAsia="仿宋_GB2312"/>
      <w:b/>
      <w:sz w:val="24"/>
      <w:szCs w:val="20"/>
    </w:rPr>
  </w:style>
  <w:style w:type="paragraph" w:styleId="1381">
    <w:name w:val="xl40"/>
    <w:basedOn w:val="1005"/>
    <w:next w:val="1381"/>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2">
    <w:name w:val="background1"/>
    <w:basedOn w:val="1005"/>
    <w:next w:val="1382"/>
    <w:link w:val="1005"/>
    <w:qFormat/>
    <w:pPr>
      <w:jc w:val="left"/>
      <w:spacing w:before="100" w:beforeAutospacing="1" w:after="100" w:afterAutospacing="1"/>
      <w:widowControl/>
    </w:pPr>
    <w:rPr>
      <w:rFonts w:ascii="宋体" w:hAnsi="宋体" w:cs="宋体"/>
      <w:sz w:val="24"/>
    </w:rPr>
  </w:style>
  <w:style w:type="paragraph" w:styleId="1383">
    <w:name w:val="无标题条"/>
    <w:next w:val="1005"/>
    <w:link w:val="1005"/>
    <w:qFormat/>
    <w:pPr>
      <w:jc w:val="both"/>
    </w:pPr>
    <w:rPr>
      <w:sz w:val="21"/>
      <w:lang w:val="en-US" w:eastAsia="zh-CN" w:bidi="ar-SA"/>
    </w:rPr>
  </w:style>
  <w:style w:type="paragraph" w:styleId="1384">
    <w:name w:val="xl47"/>
    <w:basedOn w:val="1005"/>
    <w:next w:val="1384"/>
    <w:link w:val="10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5">
    <w:name w:val="xl32"/>
    <w:basedOn w:val="1005"/>
    <w:next w:val="1385"/>
    <w:link w:val="10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6">
    <w:name w:val="表格侧编号"/>
    <w:next w:val="1005"/>
    <w:link w:val="1005"/>
    <w:qFormat/>
    <w:pPr>
      <w:jc w:val="center"/>
      <w:widowControl w:val="off"/>
      <w:tabs>
        <w:tab w:val="left" w:pos="314" w:leader="none"/>
      </w:tabs>
    </w:pPr>
    <w:rPr>
      <w:rFonts w:ascii="宋体" w:hAnsi="宋体"/>
      <w:bCs/>
      <w:color w:val="000000"/>
      <w:sz w:val="30"/>
      <w:szCs w:val="30"/>
      <w:lang w:val="en-US" w:eastAsia="zh-CN" w:bidi="ar-SA"/>
    </w:rPr>
  </w:style>
  <w:style w:type="paragraph" w:styleId="1387">
    <w:name w:val="font7"/>
    <w:basedOn w:val="1005"/>
    <w:next w:val="1387"/>
    <w:link w:val="1005"/>
    <w:qFormat/>
    <w:pPr>
      <w:jc w:val="left"/>
      <w:spacing w:before="100" w:beforeAutospacing="1" w:after="100" w:afterAutospacing="1"/>
      <w:widowControl/>
    </w:pPr>
    <w:rPr>
      <w:rFonts w:eastAsia="Arial Unicode MS"/>
      <w:b/>
      <w:bCs/>
      <w:color w:val="000000"/>
      <w:sz w:val="20"/>
      <w:szCs w:val="20"/>
    </w:rPr>
  </w:style>
  <w:style w:type="paragraph" w:styleId="1388">
    <w:name w:val="Char Char Char Char Char Char Char2"/>
    <w:basedOn w:val="1005"/>
    <w:next w:val="1388"/>
    <w:link w:val="1005"/>
    <w:qFormat/>
    <w:pPr>
      <w:ind w:firstLine="200"/>
      <w:spacing w:line="360" w:lineRule="auto"/>
    </w:pPr>
    <w:rPr>
      <w:rFonts w:eastAsia="仿宋_GB2312"/>
      <w:sz w:val="24"/>
    </w:rPr>
  </w:style>
  <w:style w:type="paragraph" w:styleId="1389">
    <w:name w:val="xl38"/>
    <w:basedOn w:val="1005"/>
    <w:next w:val="1389"/>
    <w:link w:val="10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90">
    <w:name w:val="font9"/>
    <w:basedOn w:val="1005"/>
    <w:next w:val="1390"/>
    <w:link w:val="1005"/>
    <w:qFormat/>
    <w:pPr>
      <w:jc w:val="left"/>
      <w:spacing w:before="100" w:beforeAutospacing="1" w:after="100" w:afterAutospacing="1"/>
      <w:widowControl/>
    </w:pPr>
    <w:rPr>
      <w:rFonts w:hint="eastAsia" w:ascii="宋体" w:hAnsi="宋体" w:cs="Arial Unicode MS"/>
      <w:color w:val="000000"/>
      <w:sz w:val="20"/>
      <w:szCs w:val="20"/>
    </w:rPr>
  </w:style>
  <w:style w:type="paragraph" w:styleId="1391">
    <w:name w:val="默认段落字体 Para Char Char Char Char Char Char Char Char Char1 Char Char Char Char Char Char Char"/>
    <w:basedOn w:val="1031"/>
    <w:next w:val="1391"/>
    <w:link w:val="1005"/>
    <w:rPr>
      <w:rFonts w:ascii="Tahoma" w:hAnsi="Tahoma"/>
      <w:sz w:val="24"/>
    </w:rPr>
  </w:style>
  <w:style w:type="paragraph" w:styleId="1392">
    <w:name w:val="正文缩进2"/>
    <w:basedOn w:val="1005"/>
    <w:next w:val="1392"/>
    <w:link w:val="1005"/>
    <w:qFormat/>
    <w:pPr>
      <w:ind w:firstLine="567"/>
      <w:spacing w:line="480" w:lineRule="exact"/>
      <w:widowControl/>
    </w:pPr>
    <w:rPr>
      <w:rFonts w:ascii="宋体"/>
      <w:color w:val="000000"/>
      <w:sz w:val="28"/>
      <w:szCs w:val="20"/>
      <w:lang w:val="zh-CN" w:eastAsia="zh-CN"/>
    </w:rPr>
  </w:style>
  <w:style w:type="paragraph" w:styleId="1393">
    <w:name w:val="xl27"/>
    <w:basedOn w:val="1005"/>
    <w:next w:val="1393"/>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4">
    <w:name w:val="列出段落3"/>
    <w:basedOn w:val="1005"/>
    <w:next w:val="1394"/>
    <w:link w:val="1005"/>
    <w:uiPriority w:val="34"/>
    <w:qFormat/>
    <w:pPr>
      <w:ind w:left="420" w:hanging="420"/>
      <w:tabs>
        <w:tab w:val="left" w:pos="425" w:leader="none"/>
      </w:tabs>
    </w:pPr>
  </w:style>
  <w:style w:type="paragraph" w:styleId="1395">
    <w:name w:val="标题1-附件"/>
    <w:basedOn w:val="1006"/>
    <w:next w:val="1395"/>
    <w:link w:val="1005"/>
    <w:qFormat/>
    <w:pPr>
      <w:jc w:val="left"/>
    </w:pPr>
    <w:rPr>
      <w:sz w:val="24"/>
      <w:szCs w:val="24"/>
    </w:rPr>
  </w:style>
  <w:style w:type="paragraph" w:styleId="1396">
    <w:name w:val="cjk"/>
    <w:basedOn w:val="1005"/>
    <w:next w:val="1396"/>
    <w:link w:val="1005"/>
    <w:pPr>
      <w:spacing w:before="100" w:beforeAutospacing="1" w:after="119"/>
      <w:widowControl/>
    </w:pPr>
    <w:rPr>
      <w:rFonts w:ascii="宋体" w:hAnsi="宋体" w:cs="宋体"/>
      <w:color w:val="000000"/>
      <w:sz w:val="28"/>
      <w:szCs w:val="28"/>
    </w:rPr>
  </w:style>
  <w:style w:type="paragraph" w:styleId="1397">
    <w:name w:val="Char Char Char1"/>
    <w:basedOn w:val="1005"/>
    <w:next w:val="1397"/>
    <w:link w:val="1005"/>
    <w:qFormat/>
    <w:rPr>
      <w:rFonts w:ascii="Tahoma" w:hAnsi="Tahoma"/>
      <w:sz w:val="24"/>
      <w:szCs w:val="20"/>
    </w:rPr>
  </w:style>
  <w:style w:type="paragraph" w:styleId="1398">
    <w:name w:val="xl39"/>
    <w:basedOn w:val="1005"/>
    <w:next w:val="1398"/>
    <w:link w:val="10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9">
    <w:name w:val="dbchf15cgrid sbasedon0 s"/>
    <w:next w:val="1399"/>
    <w:link w:val="1005"/>
    <w:qFormat/>
    <w:pPr>
      <w:jc w:val="both"/>
      <w:widowControl w:val="off"/>
    </w:pPr>
    <w:rPr>
      <w:rFonts w:ascii="宋体"/>
      <w:spacing w:val="5"/>
      <w:sz w:val="21"/>
      <w:lang w:val="en-US" w:eastAsia="zh-CN" w:bidi="ar-SA"/>
    </w:rPr>
  </w:style>
  <w:style w:type="paragraph" w:styleId="1400">
    <w:name w:val="样式 标题 2 + 宋体 五号 行距: 单倍行距"/>
    <w:basedOn w:val="1007"/>
    <w:next w:val="1400"/>
    <w:link w:val="1005"/>
    <w:qFormat/>
    <w:pPr>
      <w:numPr>
        <w:ilvl w:val="1"/>
        <w:numId w:val="9"/>
      </w:numPr>
      <w:jc w:val="left"/>
      <w:spacing w:before="260" w:after="260" w:line="240" w:lineRule="auto"/>
      <w:tabs>
        <w:tab w:val="left" w:pos="1188" w:leader="none"/>
      </w:tabs>
    </w:pPr>
    <w:rPr>
      <w:rFonts w:ascii="宋体" w:hAnsi="宋体" w:eastAsia="宋体"/>
      <w:bCs/>
      <w:sz w:val="21"/>
    </w:rPr>
  </w:style>
  <w:style w:type="paragraph" w:styleId="1401">
    <w:name w:val="Char Char1"/>
    <w:basedOn w:val="1031"/>
    <w:next w:val="1401"/>
    <w:link w:val="1005"/>
    <w:qFormat/>
    <w:rPr>
      <w:rFonts w:ascii="Tahoma" w:hAnsi="Tahoma"/>
      <w:sz w:val="24"/>
    </w:rPr>
  </w:style>
  <w:style w:type="table" w:styleId="1402">
    <w:name w:val="Table Normal"/>
    <w:next w:val="1402"/>
    <w:link w:val="1005"/>
    <w:uiPriority w:val="2"/>
    <w:unhideWhenUsed/>
    <w:qFormat/>
    <w:pPr>
      <w:widowControl w:val="off"/>
    </w:pPr>
    <w:rPr>
      <w:rFonts w:ascii="Calibri" w:hAnsi="Calibri"/>
      <w:sz w:val="22"/>
      <w:szCs w:val="22"/>
      <w:lang w:val="en-US" w:eastAsia="en-US" w:bidi="ar-SA"/>
    </w:rPr>
    <w:tblPr/>
  </w:style>
  <w:style w:type="paragraph" w:styleId="1403">
    <w:name w:val="ds-markdown-paragraph"/>
    <w:basedOn w:val="1005"/>
    <w:next w:val="1403"/>
    <w:link w:val="1005"/>
    <w:qFormat/>
    <w:pPr>
      <w:jc w:val="left"/>
      <w:spacing w:before="100" w:beforeAutospacing="1" w:after="100" w:afterAutospacing="1"/>
      <w:widowControl/>
    </w:pPr>
    <w:rPr>
      <w:rFonts w:ascii="宋体" w:hAnsi="宋体" w:cs="宋体"/>
      <w:sz w:val="24"/>
      <w:szCs w:val="21"/>
    </w:rPr>
  </w:style>
  <w:style w:type="character" w:styleId="1404" w:default="1">
    <w:name w:val="Default Paragraph Font"/>
    <w:uiPriority w:val="1"/>
    <w:semiHidden/>
    <w:unhideWhenUsed/>
  </w:style>
  <w:style w:type="numbering" w:styleId="1405" w:default="1">
    <w:name w:val="No List"/>
    <w:uiPriority w:val="99"/>
    <w:semiHidden/>
    <w:unhideWhenUsed/>
  </w:style>
  <w:style w:type="table" w:styleId="14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jpg"/><Relationship Id="rId25" Type="http://schemas.openxmlformats.org/officeDocument/2006/relationships/image" Target="media/image4.jpg"/><Relationship Id="rId26" Type="http://schemas.openxmlformats.org/officeDocument/2006/relationships/image" Target="media/image5.jpg"/><Relationship Id="rId27" Type="http://schemas.openxmlformats.org/officeDocument/2006/relationships/image" Target="media/image6.jpg"/><Relationship Id="rId28" Type="http://schemas.openxmlformats.org/officeDocument/2006/relationships/image" Target="media/image7.png"/><Relationship Id="rId29" Type="http://schemas.openxmlformats.org/officeDocument/2006/relationships/image" Target="media/image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朱丹俊</cp:lastModifiedBy>
  <cp:revision>9</cp:revision>
  <dcterms:created xsi:type="dcterms:W3CDTF">2024-04-12T00:42:00Z</dcterms:created>
  <dcterms:modified xsi:type="dcterms:W3CDTF">2025-12-11T03:13:52Z</dcterms:modified>
</cp:coreProperties>
</file>